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olahzoltan970301@gmail.com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JÁRÁSOK VIZSGÁLATA AZ ENDOGÉN FEJLŐDÉS SZEMSZÖGÉBŐL 2011 ÉS 2021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endogén fejlődés; területi tőke; területi mintázat; régió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évtizedekben, a tudományos szakirodalomban egyre népszerűbbé vált az endogén</w:t>
      </w:r>
      <w:r>
        <w:rPr>
          <w:color w:val="000000"/>
          <w:sz w:val="24"/>
          <w:szCs w:val="24"/>
        </w:rPr>
        <w:br/>
        <w:t xml:space="preserve">fejlődés teóriája. Az endogén megközelítés felértékelődése kiváltképp tapasztalható a</w:t>
      </w:r>
      <w:r>
        <w:rPr>
          <w:color w:val="000000"/>
          <w:sz w:val="24"/>
          <w:szCs w:val="24"/>
        </w:rPr>
        <w:br/>
        <w:t xml:space="preserve">gazdasági fejlődés vizsgálata kapcsán. Egyre inkább, s nem csak a vidéki terek vonatkozásában,</w:t>
      </w:r>
      <w:r>
        <w:rPr>
          <w:color w:val="000000"/>
          <w:sz w:val="24"/>
          <w:szCs w:val="24"/>
        </w:rPr>
        <w:br/>
        <w:t xml:space="preserve">előtérbe kerül a helyi erőforrások hasznosítása, kiaknázása. Nem függhet egy régió csak a külső</w:t>
      </w:r>
      <w:r>
        <w:rPr>
          <w:color w:val="000000"/>
          <w:sz w:val="24"/>
          <w:szCs w:val="24"/>
        </w:rPr>
        <w:br/>
        <w:t xml:space="preserve">forrásoktól, illetve támogatásoktól. Ezek helyett a helyi adottságokat is ki kell használnia. Erre</w:t>
      </w:r>
      <w:r>
        <w:rPr>
          <w:color w:val="000000"/>
          <w:sz w:val="24"/>
          <w:szCs w:val="24"/>
        </w:rPr>
        <w:br/>
        <w:t xml:space="preserve">a megközelítésre számos modell épül, ilyen például a területi tőke modellje.</w:t>
      </w:r>
      <w:r>
        <w:rPr>
          <w:color w:val="000000"/>
          <w:sz w:val="24"/>
          <w:szCs w:val="24"/>
        </w:rPr>
        <w:br/>
        <w:t xml:space="preserve">Munkám tudományos kérdéseként azt vizsgáltam, hogy az egyes területegységek esetében</w:t>
      </w:r>
      <w:r>
        <w:rPr>
          <w:color w:val="000000"/>
          <w:sz w:val="24"/>
          <w:szCs w:val="24"/>
        </w:rPr>
        <w:br/>
        <w:t xml:space="preserve">megfigyelhető-e egy „szokásos” mintázat a tőketényezők felhalmozása kapcsán. Továbbá</w:t>
      </w:r>
      <w:r>
        <w:rPr>
          <w:color w:val="000000"/>
          <w:sz w:val="24"/>
          <w:szCs w:val="24"/>
        </w:rPr>
        <w:br/>
        <w:t xml:space="preserve">elemzésembe beemelem az időtényezőt, és a vizsgált tőketényezők felhalmozását egy évtizedes</w:t>
      </w:r>
      <w:r>
        <w:rPr>
          <w:color w:val="000000"/>
          <w:sz w:val="24"/>
          <w:szCs w:val="24"/>
        </w:rPr>
        <w:br/>
        <w:t xml:space="preserve">időhorizont vonatkozásában értelmezem. A vizsgálat során a gazdasági, illetve társadalmi tőke</w:t>
      </w:r>
      <w:r>
        <w:rPr>
          <w:color w:val="000000"/>
          <w:sz w:val="24"/>
          <w:szCs w:val="24"/>
        </w:rPr>
        <w:br/>
        <w:t xml:space="preserve">esetében megfigyelhető egy általánosnak nevezhető területi mintázat, sűrűsödés. A másik két,</w:t>
      </w:r>
      <w:r>
        <w:rPr>
          <w:color w:val="000000"/>
          <w:sz w:val="24"/>
          <w:szCs w:val="24"/>
        </w:rPr>
        <w:br/>
        <w:t xml:space="preserve">vizsgált tőketényező esetében minden nagyobb régióban van magas tőkefelhalmozású járás.</w:t>
      </w:r>
      <w:r>
        <w:rPr>
          <w:color w:val="000000"/>
          <w:sz w:val="24"/>
          <w:szCs w:val="24"/>
        </w:rPr>
        <w:br/>
        <w:t xml:space="preserve">Bizonyos járások komoly fejlődésen mentek keresztül 10 év alatt, ugyanakkor több</w:t>
      </w:r>
      <w:r>
        <w:rPr>
          <w:color w:val="000000"/>
          <w:sz w:val="24"/>
          <w:szCs w:val="24"/>
        </w:rPr>
        <w:br/>
        <w:t xml:space="preserve">területegység esetében a hanyatlás jelei mutatkoznak.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36409">
    <w:multiLevelType w:val="hybridMultilevel"/>
    <w:lvl w:ilvl="0" w:tplc="8306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36409">
    <w:abstractNumId w:val="34936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683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