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ANNA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kovacs.anna.dora@stud.uni-nke.hu</w:t>
            </w:r>
            <w:r w:rsidRPr="001067CD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Hárs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mesterséges intelligencia etikus nemzetközi szabályozásának lehetőségei az EU, az USA és Kína szabályozásain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intelligencia; nemzetközi etikus szabályozás; Európai Unió; Amerikai Egyesült Államok; Kína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mesterséges intelligencia etikus szabályozásának összehasonlító elemzését mutatja be az Európai Unió, az Amerikai Egyesült Államok és a Kína vonatkozó jogszabályai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Uniós szabályozás kiemelten foglalkozik a mesterséges intelligencia (MI) átláthatóságával, a felelősség és az emberi kontrol kérdésével. Az amerikai szabályozás inkább ágazatspecifikus megközelítést alkalmaz, míg Kína ötvözi a nemzeti, tartományi és helyi szintű szabályozásokat a jogszabályi keretrendszerében.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fogalmi meghatározás és az etikai alapelvek terén hasonlóságok és különbségek egyaránt fellelhetők. Míg az EU és Kína elővigyázatosabb, sőt szigorúbb megközelítése által a témához, addig ezzel szemben az USA lazább álláspont képvisel a piaci folyamatokra hagyatkozva. Az egyes elvek és értékek mögött eltérő politikai, gazdasági és kulturális tényezők is meghúzódnak, melyek jelentősen hatnak az egyes jogszabályok megalkotására.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szabályozások kihívásai közé tartozik az MI technológiájának gyors változása, valamint az egyéni jogok, a gazdasági növekedés és az állami felügyelet közötti egyensúly megteremtése. Az együttműködés lehetőségei és korlátjai is megvitatásra kerülnek a három szereplő összevetésében.</w:t>
      </w:r>
      <w:r>
        <w:rPr>
          <w:color w:val="000000"/>
          <w:sz w:val="24"/>
          <w:szCs w:val="24"/>
        </w:rPr>
        <w:br/>
        <w:t xml:space="preserve">A vizsgált kutatási kérdések a szabályozások főbb hasonlóságait és különbségeit, az etikai megfontolások kezelését és a szabályozások felmerülő kihívásait gyűjtötték össze. A tanulmány dokumentumelemzés és irodalomkutatás módszereit alkalmazta.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az elemzés rávilágít arra, hogy a mesterséges intelligencia szabályozása komplex feladat, amely egyaránt igényli az etikai és műszaki-szakmai ismereteket, valamint a szereplők közötti együttműködést annak érdekében, hogy hatékonyan kezelje a technológia előnyeinek és kockázatainak kérdéskörét.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671110">
    <w:multiLevelType w:val="hybridMultilevel"/>
    <w:lvl w:ilvl="0" w:tplc="27765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671110">
    <w:abstractNumId w:val="16671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84911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