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FÜLÖP</w:t>
            </w:r>
          </w:p>
          <w:p w:rsidR="00C275A3" w:rsidRDefault="00CA6B74" w:rsidP="00C275A3">
            <w:pPr>
              <w:pStyle w:val="Hallgatokepzes"/>
            </w:pPr>
            <w:r w:rsidRPr="001067CD">
              <w:rPr>
                <w:i/>
              </w:rPr>
              <w:t>fulop.bence11@gmail.com</w:t>
            </w:r>
            <w:r w:rsidRPr="001067CD">
              <w:rPr>
                <w:i/>
              </w:rPr>
              <w:br/>
            </w:r>
            <w:r w:rsidR="00A96AEC">
              <w:t>International Security and Defence Policy master programme</w:t>
            </w:r>
            <w:r w:rsidR="00A96AEC">
              <w:br/>
            </w:r>
            <w:r w:rsidR="00E77B23">
              <w:t>MA, 1.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Colonel Zoltán László Kiss, PhD</w:t>
            </w:r>
          </w:p>
          <w:p w:rsidR="00DB4822" w:rsidRDefault="00DB4822" w:rsidP="00BA6BAF">
            <w:pPr>
              <w:pStyle w:val="Konzulensektitulus"/>
            </w:pPr>
            <w:r w:rsidRPr="00DB4822">
              <w:t>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Northern Ireland – On the brink of another "Troubles?"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Ireland, United Kingdom, Republicanism, Paramilitary Organizations, Brexit</w:t>
      </w:r>
      <w:r>
        <w:t xml:space="preserve"/>
      </w:r>
    </w:p>
    <w:p>
      <w:pPr>
        <w:widowControl w:val="on"/>
        <w:pBdr/>
        <w:spacing w:before="240" w:after="240" w:line="240" w:lineRule="auto"/>
        <w:ind w:left="0" w:right="0"/>
        <w:jc w:val="left"/>
      </w:pPr>
      <w:r>
        <w:rPr>
          <w:color w:val="000000"/>
          <w:sz w:val="24"/>
          <w:szCs w:val="24"/>
        </w:rPr>
        <w:t xml:space="preserve">In recent years, there have been a number of events that have received prominent media attention in the scientific world. However, it has also partly distracted attention from Northern Ireland, where instability and radicalization have increased significantly over the last decade, particularly after the UK's exit from the EU. The picture of a peaceful future promised by the Belfast Agreement, signed on Good Friday 1998, appears to be shattered. </w:t>
      </w:r>
    </w:p>
    <w:p>
      <w:pPr>
        <w:widowControl w:val="on"/>
        <w:pBdr/>
        <w:spacing w:before="240" w:after="240" w:line="240" w:lineRule="auto"/>
        <w:ind w:left="0" w:right="0"/>
        <w:jc w:val="left"/>
      </w:pPr>
      <w:r>
        <w:rPr>
          <w:color w:val="000000"/>
          <w:sz w:val="24"/>
          <w:szCs w:val="24"/>
        </w:rPr>
        <w:t xml:space="preserve">The research premises (hypotheses) relate to the factors influencing Northern Ireland's external and internal security environment with particular reference to: the social and political effects of Brexit; the economic, social and political problems that emerge alongside the sectarian conflict; and the intertwined growing strength of dissident paramilitary organisations. </w:t>
      </w:r>
    </w:p>
    <w:p>
      <w:pPr>
        <w:widowControl w:val="on"/>
        <w:pBdr/>
        <w:spacing w:before="240" w:after="240" w:line="240" w:lineRule="auto"/>
        <w:ind w:left="0" w:right="0"/>
        <w:jc w:val="left"/>
      </w:pPr>
      <w:r>
        <w:rPr>
          <w:color w:val="000000"/>
          <w:sz w:val="24"/>
          <w:szCs w:val="24"/>
        </w:rPr>
        <w:t xml:space="preserve">The first part of the paper is devoted to an introduction to Irish history, including an analysis of the Troubles (1969-1998). I  continue with the successes and failures of consolidation after the end of the period. During my research, I highlight the most influential positive and negative trends in the north of the island of Ireland. I then turn to the implications of Brexit for both the British and the Northern Irish political and social scene.</w:t>
      </w:r>
    </w:p>
    <w:p>
      <w:pPr>
        <w:widowControl w:val="on"/>
        <w:pBdr/>
        <w:spacing w:before="240" w:after="240" w:line="240" w:lineRule="auto"/>
        <w:ind w:left="0" w:right="0"/>
        <w:jc w:val="left"/>
      </w:pPr>
      <w:r>
        <w:rPr>
          <w:color w:val="000000"/>
          <w:sz w:val="24"/>
          <w:szCs w:val="24"/>
        </w:rPr>
        <w:t xml:space="preserve"> Among the paramilitary organizations that are currently active, I investigate and present the most important groups. I analyze their modus operandi, the extent of their social and political support and some of their actions. For this purpose the paper uses military sociological analytical approach to identify the key factors that may predispose young people to radicalism. In the final chapter, I identify several possible scenarios for Northern Ireland and Britain. Supporting the validity of these scenarios, my paper provides various relavant trends and statistics across the military, social, political and economic sectors of security. I describe the possible impacts of the possible scenarios, the relationship between them and ways to avoid negative consequences. </w:t>
      </w:r>
    </w:p>
    <w:p>
      <w:pPr>
        <w:widowControl w:val="on"/>
        <w:pBdr/>
        <w:spacing w:before="240" w:after="240" w:line="240" w:lineRule="auto"/>
        <w:ind w:left="0" w:right="0"/>
        <w:jc w:val="left"/>
      </w:pPr>
      <w:r>
        <w:rPr>
          <w:color w:val="000000"/>
          <w:sz w:val="24"/>
          <w:szCs w:val="24"/>
        </w:rPr>
        <w:t xml:space="preserve">After examining the validity of my hypotheses, I conclude by discussing the usefulness of the results of my research and outlining possible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19443">
    <w:multiLevelType w:val="hybridMultilevel"/>
    <w:lvl w:ilvl="0" w:tplc="95725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19443">
    <w:abstractNumId w:val="736194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6487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