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KAPOSI </w:t>
            </w:r>
          </w:p>
          <w:p w:rsidR="00C275A3" w:rsidRDefault="00CA6B74" w:rsidP="00C275A3">
            <w:pPr>
              <w:pStyle w:val="Hallgatokepzes"/>
            </w:pPr>
            <w:r w:rsidRPr="001067CD">
              <w:rPr>
                <w:i/>
              </w:rPr>
              <w:t>bernadett.kaposi@nik.gov.hu</w:t>
            </w:r>
            <w:r w:rsidRPr="001067CD">
              <w:rPr>
                <w:i/>
              </w:rPr>
              <w:br/>
            </w:r>
            <w:r w:rsidR="00A96AEC">
              <w:t>National Security Human Intelligence Specialisation</w:t>
            </w:r>
            <w:r w:rsidR="00A96AEC">
              <w:br/>
            </w:r>
            <w:r w:rsidR="00E77B23">
              <w:t>MA, 1.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Kund REGÉNYI</w:t>
            </w:r>
          </w:p>
          <w:p w:rsidR="00DB4822" w:rsidRDefault="00DB4822" w:rsidP="00BA6BAF">
            <w:pPr>
              <w:pStyle w:val="Konzulensektitulus"/>
            </w:pPr>
            <w:r w:rsidRPr="00DB4822">
              <w:t>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object of the wanted person – as home affairs task – from the 50’s till the change of regime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wanted persons; home affairs task</w:t>
      </w:r>
      <w:r>
        <w:t xml:space="preserve"/>
      </w:r>
    </w:p>
    <w:p>
      <w:pPr>
        <w:widowControl w:val="on"/>
        <w:pBdr/>
        <w:spacing w:before="240" w:after="240" w:line="240" w:lineRule="auto"/>
        <w:ind w:left="0" w:right="0"/>
        <w:jc w:val="left"/>
      </w:pPr>
      <w:r>
        <w:rPr>
          <w:color w:val="000000"/>
          <w:sz w:val="24"/>
          <w:szCs w:val="24"/>
        </w:rPr>
        <w:t xml:space="preserve">In this thesis, I would like to shed light on what type of surveillance activity was carried out by the internal affairs structures in Hungary after the Second World War and how it developed until the regime change.</w:t>
      </w:r>
      <w:r>
        <w:rPr>
          <w:color w:val="000000"/>
          <w:sz w:val="24"/>
          <w:szCs w:val="24"/>
        </w:rPr>
        <w:br/>
        <w:t xml:space="preserve">The period covered by the research is from the end of the Second World War to the Duna Gate case.</w:t>
      </w:r>
      <w:r>
        <w:rPr>
          <w:color w:val="000000"/>
          <w:sz w:val="24"/>
          <w:szCs w:val="24"/>
        </w:rPr>
        <w:br/>
        <w:t xml:space="preserve">According to my hypothesis, it is still necessary that, in addition to the work of the police, in the fields of intelligence, counter-terrorism, and counter-espionage, information collection and risk analysis should be carried out on the target groups that the state security agencies had to keep in sight in the context of conspiratorial searches in the past system.</w:t>
      </w:r>
      <w:r>
        <w:rPr>
          <w:color w:val="000000"/>
          <w:sz w:val="24"/>
          <w:szCs w:val="24"/>
        </w:rPr>
        <w:br/>
        <w:t xml:space="preserve">According to the rules of law enforcement methodology, in addition to the examination of contemporary legal documents, open and secret provisions, contemporary theses and textbooks on the subject, I also analyzed operational materials in order to get to know the procedure of the era's roundup activity from the side of practical experience.</w:t>
      </w:r>
      <w:r>
        <w:rPr>
          <w:color w:val="000000"/>
          <w:sz w:val="24"/>
          <w:szCs w:val="24"/>
        </w:rPr>
        <w:br/>
        <w:t xml:space="preserve">In the past half century, the organizational structure, the legal environment, the ideological approach, the state security and criminal training have changed several times, the technology has developed, there has been a shift in the direction of specialization, but at the same time the classic, basic tasks have remained.</w:t>
      </w:r>
      <w:r>
        <w:rPr>
          <w:color w:val="000000"/>
          <w:sz w:val="24"/>
          <w:szCs w:val="24"/>
        </w:rPr>
        <w:br/>
        <w:t xml:space="preserve">Based on my research in the TÜK library of the National Public Service University and the State Security Archives, I came to the conclusion that 1970 and 1990, the internal affairs bodies carried out almost the same activities.</w:t>
      </w:r>
      <w:r>
        <w:rPr>
          <w:color w:val="000000"/>
          <w:sz w:val="24"/>
          <w:szCs w:val="24"/>
        </w:rPr>
        <w:br/>
        <w:t xml:space="preserve">As my own achievement, I value the overview of the Hungarian enforcement practice from the 1950s to the 1990s; and the content analysis of search warrant files; furthermore, that I put the policing activity into an overall internal affairs perspective, by displaying the relevant tasks of each service branch based on archival materials of the time; I presented the operative methods and tools of the time specifically helping to track down the wanted, and I also highlighted the new procedures and methods currently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22968">
    <w:multiLevelType w:val="hybridMultilevel"/>
    <w:lvl w:ilvl="0" w:tplc="40321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22968">
    <w:abstractNumId w:val="50722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245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