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ALADDIN ALMARASHLY</w:t>
            </w:r>
          </w:p>
          <w:p w:rsidR="00C275A3" w:rsidRDefault="00CA6B74" w:rsidP="00C275A3">
            <w:pPr>
              <w:pStyle w:val="Hallgatokepzes"/>
            </w:pPr>
            <w:r w:rsidRPr="001067CD">
              <w:rPr>
                <w:i/>
              </w:rPr>
              <w:t>aladdin.almarashly@gmail.com</w:t>
            </w:r>
            <w:r w:rsidRPr="001067CD">
              <w:rPr>
                <w:i/>
              </w:rPr>
              <w:br/>
            </w:r>
            <w:r w:rsidR="00A96AEC">
              <w:t>Környezetmérnök</w:t>
            </w:r>
            <w:r w:rsidR="00A96AEC">
              <w:br/>
            </w:r>
            <w:r w:rsidR="00E77B23">
              <w:t>MSc, 1.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Faitli József</w:t>
            </w:r>
          </w:p>
          <w:p w:rsidR="00DB4822" w:rsidRDefault="00DB4822" w:rsidP="00BA6BAF">
            <w:pPr>
              <w:pStyle w:val="Konzulensektitulus"/>
            </w:pPr>
            <w:r w:rsidRPr="00DB4822">
              <w:t>egyetemi tanár,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2022-2023-as országos kiterjesztett termelői felelősség (EPR) alapú települési szilárd hulladék (MSW) elemzési kampányok eredményeinek értékelése és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MSW EPR Analysis</w:t>
      </w:r>
      <w:r>
        <w:t xml:space="preserve"/>
      </w:r>
    </w:p>
    <w:p>
      <w:pPr>
        <w:widowControl w:val="on"/>
        <w:pBdr/>
        <w:spacing w:before="240" w:after="240" w:line="240" w:lineRule="auto"/>
        <w:ind w:left="0" w:right="0"/>
        <w:jc w:val="left"/>
      </w:pPr>
      <w:r>
        <w:rPr>
          <w:color w:val="000000"/>
          <w:sz w:val="24"/>
          <w:szCs w:val="24"/>
        </w:rPr>
        <w:t xml:space="preserve">The study aims to evaluate and compare the effectiveness of the national Extended Producer Responsibility (EPR) and Deposit Refund Systems (DRS) in managing municipal solid waste (MSW) in Hungary. The research focuses on campaigns conducted in the autumn and winter of 2022 and the spring and summer of 2023, assessing the impact on selective waste collection and recycling.</w:t>
      </w:r>
    </w:p>
    <w:p>
      <w:pPr>
        <w:widowControl w:val="on"/>
        <w:pBdr/>
        <w:spacing w:before="240" w:after="240" w:line="240" w:lineRule="auto"/>
        <w:ind w:left="0" w:right="0"/>
        <w:jc w:val="left"/>
      </w:pPr>
      <w:r>
        <w:rPr>
          <w:color w:val="000000"/>
          <w:sz w:val="24"/>
          <w:szCs w:val="24"/>
        </w:rPr>
        <w:t xml:space="preserve">Comprehensive survey on European EPR and DRS systems, focusing on their application in Hungary.</w:t>
      </w:r>
      <w:r>
        <w:rPr>
          <w:color w:val="000000"/>
          <w:sz w:val="24"/>
          <w:szCs w:val="24"/>
        </w:rPr>
        <w:br/>
        <w:t xml:space="preserve">Standards: Adherence to Hungarian EPR MSW analytical standards (MSZ 21420-28 and 29).</w:t>
      </w:r>
      <w:r>
        <w:rPr>
          <w:color w:val="000000"/>
          <w:sz w:val="24"/>
          <w:szCs w:val="24"/>
        </w:rPr>
        <w:br/>
        <w:t xml:space="preserve">Data Analysis: Development of a computer solution for parsing and evaluating compositional data, considering key parameters like component concentration, seasonal changes, regional disparities, and waste stream types.</w:t>
      </w:r>
    </w:p>
    <w:p>
      <w:pPr>
        <w:widowControl w:val="on"/>
        <w:pBdr/>
        <w:spacing w:before="240" w:after="240" w:line="240" w:lineRule="auto"/>
        <w:ind w:left="0" w:right="0"/>
        <w:jc w:val="left"/>
      </w:pPr>
      <w:r>
        <w:rPr>
          <w:color w:val="000000"/>
          <w:sz w:val="24"/>
          <w:szCs w:val="24"/>
        </w:rPr>
        <w:t xml:space="preserve">Variances in Waste Composition: Significant differences were observed in waste composition and management efficacy across regions and seasons.</w:t>
      </w:r>
      <w:r>
        <w:rPr>
          <w:color w:val="000000"/>
          <w:sz w:val="24"/>
          <w:szCs w:val="24"/>
        </w:rPr>
        <w:br/>
        <w:t xml:space="preserve">EPR and DRS Implementation: Success varied by region, with some showing marked improvements in waste segregation and recycling, while others lagged behind.</w:t>
      </w:r>
      <w:r>
        <w:rPr>
          <w:color w:val="000000"/>
          <w:sz w:val="24"/>
          <w:szCs w:val="24"/>
        </w:rPr>
        <w:br/>
        <w:t xml:space="preserve">Critical Factors: Public awareness, policy enforcement, and infrastructure adequacy are crucial for the success of EPR and DRS initiatives.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89014">
    <w:multiLevelType w:val="hybridMultilevel"/>
    <w:lvl w:ilvl="0" w:tplc="75199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89014">
    <w:abstractNumId w:val="82689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056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