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KAPOSVÁRI LÁSZLÓ TAMÁS</w:t>
            </w:r>
          </w:p>
          <w:p w:rsidR="00C275A3" w:rsidRDefault="00CA6B74" w:rsidP="00C275A3">
            <w:pPr>
              <w:pStyle w:val="Hallgatokepzes"/>
            </w:pPr>
            <w:r w:rsidRPr="001067CD">
              <w:rPr>
                <w:i/>
              </w:rPr>
              <w:t>kaposvari.lt@gmail.com</w:t>
            </w:r>
            <w:r w:rsidRPr="001067CD">
              <w:rPr>
                <w:i/>
              </w:rPr>
              <w:br/>
            </w:r>
            <w:r w:rsidR="00A96AEC">
              <w:t>földrajztanár – történelemtanár és állampolgári ismeretek tanára</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Siskáné Dr. Szilasi Beáta</w:t>
            </w:r>
          </w:p>
          <w:p w:rsidR="00DB4822" w:rsidRDefault="00DB4822" w:rsidP="00BA6BAF">
            <w:pPr>
              <w:pStyle w:val="Konzulensektitulus"/>
            </w:pPr>
            <w:r w:rsidRPr="00DB4822">
              <w:t>intézeti tanszékvezető, egyetemi docens,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helyközi közösségi közlekedés fejlesztése Miskolc agglomerációjában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tömegközlekedés; helyközi közlekedés; menetrendtervezés; Miskolc; miskolci agglomeráció</w:t>
      </w:r>
      <w:r>
        <w:t xml:space="preserve"/>
      </w:r>
    </w:p>
    <w:p>
      <w:pPr>
        <w:widowControl w:val="on"/>
        <w:pBdr/>
        <w:spacing w:before="240" w:after="240" w:line="240" w:lineRule="auto"/>
        <w:ind w:left="0" w:right="0"/>
        <w:jc w:val="left"/>
      </w:pPr>
      <w:r>
        <w:rPr>
          <w:color w:val="000000"/>
          <w:sz w:val="24"/>
          <w:szCs w:val="24"/>
        </w:rPr>
        <w:t xml:space="preserve">A közlekedés, azaz a helyváltoztatás mindannyiunk életének része; ki gyakrabban, ki ritkábban, de mindenki közlekedik valahová. Minden település élhetőségét nagymértékben meghatározza, hogy milyenek a közlekedési kapcsolatai és az is, hogy milyen az igénybe vehető közösségi közlekedési szolgáltatás.</w:t>
      </w:r>
    </w:p>
    <w:p>
      <w:pPr>
        <w:widowControl w:val="on"/>
        <w:pBdr/>
        <w:spacing w:before="240" w:after="240" w:line="240" w:lineRule="auto"/>
        <w:ind w:left="0" w:right="0"/>
        <w:jc w:val="left"/>
      </w:pPr>
      <w:r>
        <w:rPr>
          <w:color w:val="000000"/>
          <w:sz w:val="24"/>
          <w:szCs w:val="24"/>
        </w:rPr>
        <w:t xml:space="preserve">Eddigi kutatásaim és tanácsadói munkám során elsősorban Miskolc város helyi közösségi közlekedésével foglalkoztam, de mivel egy nagyváros közlekedési rendszerét jelentősen befolyásolják a vonzáskörzetéből érkezők utazási igényei is, ezért célul tűztem ki, hogy tanulmányozzam a miskolci agglomeráció helyközi közlekedését is.</w:t>
      </w:r>
    </w:p>
    <w:p>
      <w:pPr>
        <w:widowControl w:val="on"/>
        <w:pBdr/>
        <w:spacing w:before="240" w:after="240" w:line="240" w:lineRule="auto"/>
        <w:ind w:left="0" w:right="0"/>
        <w:jc w:val="left"/>
      </w:pPr>
      <w:r>
        <w:rPr>
          <w:color w:val="000000"/>
          <w:sz w:val="24"/>
          <w:szCs w:val="24"/>
        </w:rPr>
        <w:t xml:space="preserve">Egy nagyváros közlekedésének tervezése nem állhat meg a város határainál – hiszen a közlekedési igények is túlnyúlnak azon –, hanem a város teljes vonzáskörzetét figyelembe kell venni, szervesen integrálva azt az adott térség közlekedési rendszerébe. Ennek ellenére hazánkban a jogszabályi környezet, valamint a helyi és a helyközi közlekedési szolgáltatások elkülönített megrendelői és finanszírozási rendszere miatt jellemzően egymástól függetlenül működik a két rendszer, ami számos anomáliához vezet.</w:t>
      </w:r>
    </w:p>
    <w:p>
      <w:pPr>
        <w:widowControl w:val="on"/>
        <w:pBdr/>
        <w:spacing w:before="240" w:after="240" w:line="240" w:lineRule="auto"/>
        <w:ind w:left="0" w:right="0"/>
        <w:jc w:val="left"/>
      </w:pPr>
      <w:r>
        <w:rPr>
          <w:color w:val="000000"/>
          <w:sz w:val="24"/>
          <w:szCs w:val="24"/>
        </w:rPr>
        <w:t xml:space="preserve">Helyi és helyközi szolgáltató közötti együttműködés sajnos csak elvétve fordul elő az országban, illetve jelenleg még ritka az is, hogy valamely nagyváros közlekedési cége szolgáltasson az adott nagyváros agglomerációjában is. Megvizsgáltam, hogy a Miskolc agglomerációjába tartozó települések közül melyek esetében lenne célszerű a helyközi közlekedést a miskolci helyi szolgáltató, azaz az </w:t>
      </w:r>
      <w:r>
        <w:rPr>
          <w:i/>
          <w:color w:val="000000"/>
          <w:sz w:val="24"/>
          <w:szCs w:val="24"/>
        </w:rPr>
        <w:t xml:space="preserve">MVK Miskolc Városi Közlekedési Zrt.</w:t>
      </w:r>
      <w:r>
        <w:rPr>
          <w:color w:val="000000"/>
          <w:sz w:val="24"/>
          <w:szCs w:val="24"/>
        </w:rPr>
        <w:t xml:space="preserve"> szolgáltatási területének kiterjesztésével, a Miskolc és Felsőzsolca közötti 7-es autóbusz-viszonylat működési modelljének mintájára fejleszteni. Elemzésem alapján Bükkszentkereszt, Répáshuta, Kistokaj és Szirmabesenyő esetében is van relevanciája ennek a lehetőségnek.</w:t>
      </w:r>
    </w:p>
    <w:p>
      <w:pPr>
        <w:widowControl w:val="on"/>
        <w:pBdr/>
        <w:spacing w:before="240" w:after="240" w:line="240" w:lineRule="auto"/>
        <w:ind w:left="0" w:right="0"/>
        <w:jc w:val="left"/>
      </w:pPr>
      <w:r>
        <w:rPr>
          <w:color w:val="000000"/>
          <w:sz w:val="24"/>
          <w:szCs w:val="24"/>
        </w:rPr>
        <w:t xml:space="preserve">Sok település jelenleg ütemtelen és túl ritka menetrenddel, némely ráadásul ún. „betérős” járatokkal van kiszolgálva, ami egyértelműen nem tud versenyképes lenni a személyautós közlekedéssel. Ezért foglalkoztam azzal is, hogy a korábbi </w:t>
      </w:r>
      <w:r>
        <w:rPr>
          <w:i/>
          <w:color w:val="000000"/>
          <w:sz w:val="24"/>
          <w:szCs w:val="24"/>
        </w:rPr>
        <w:t xml:space="preserve">TDK</w:t>
      </w:r>
      <w:r>
        <w:rPr>
          <w:color w:val="000000"/>
          <w:sz w:val="24"/>
          <w:szCs w:val="24"/>
        </w:rPr>
        <w:t xml:space="preserve">-dolgozataimban a színvonalas, ugyanakkor gazdaságosan üzemeltethető helyi közösségi közlekedési szolgáltatással kapcsolatban megfogalmazott elvek alkalmazhatóak-e a helyközi közlekedésben. Az előzetes feltevésem szerint igen, amit a kiválasztott viszonylatok (3751: Miskolc – Bükkaranyos – Harsány – Kisgyőr; 3755: Miskolc – Bükkszentkereszt – Répáshuta) vonatkozásában menetrendtervezetek készítésével és számításokkal igazoltam.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75722">
    <w:multiLevelType w:val="hybridMultilevel"/>
    <w:lvl w:ilvl="0" w:tplc="105106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75722">
    <w:abstractNumId w:val="81375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2836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