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SZILVIA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lukcsszilvia24@gmail.com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Suszter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táplálkozási szokások, a fizikai aktivitás és a testösszetétel összehasonlító vizsgálata az Eszterházy Károly Katolikus Egyetem sportszakos és nem sportszakos hallgatóinak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életmód; egészség; fittség; antropometria; táplálkozás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 életmód szempontjából a legfontosabb az életminőségünk fenntartása, amelyre jelentős hatással bír az egészségi állapotnak és edzettségnek megfelelő mértékű testmozgás, a mennyiségi és minőségi táplálkozás, valamint az optimális regenerációhoz elengedhetetlen pihenés. A tanulmány célja az egri egyetemi hallgatóság táplálkozási szokásainak, fizikai aktivitásának és testösszetételének nemenkénti és szakonkénti összehasonlító vizsgálata.</w:t>
      </w:r>
      <w:r>
        <w:rPr>
          <w:color w:val="000000"/>
          <w:sz w:val="24"/>
          <w:szCs w:val="24"/>
        </w:rPr>
        <w:br/>
        <w:t xml:space="preserve">A vizsgálatban összesen százhetvenkilencen vettek részt (n=179), amelyből négy csoport került kialakításra, sportszakos férfi (1; n=48), nem sportszakos férfi (2; n=37), sportszakos női (3; n=29), nem sportszakos női (4; n=65) csoport. Validált módszerekkel mértem a fizikai aktivitást (IPAQ), a táplálkozás minőségét, élelmiszerfogyasztási gyakoriságot (FFQ), valamint a testösszetételt és annak különböző komponenseit (Inbody).</w:t>
      </w:r>
      <w:r>
        <w:rPr>
          <w:color w:val="000000"/>
          <w:sz w:val="24"/>
          <w:szCs w:val="24"/>
        </w:rPr>
        <w:br/>
        <w:t xml:space="preserve">A vizsgált csoportok táplálkozástudományi vizsgálatainak átlageredménye nem, de a heti fizikai aktivitás különbsége szignifikáns: sportszakos heti aktivitása 301.24 perc, míg a nem sportszakos hallgatóé 173.77 perc, (p=0,002). A relatív testizom százalék (M%) eredményeit illetően a sportszakos fiúk rendelkeznek a legnagyobb átlageredménnyel (44%), őket követik a nem sportszakos fiúk (38%), majd először a sportszakos lányok (31%), utánuk a nem sportszakosok csoportja (29%). Az alábbi csoportok között jelentős szignifikancia mellett mutatható ki különbség a relatív testizom százalékban (M%): 1&gt;2 p=0,000; 1&gt;3 p=0,000; 1&gt;4 p=0,000; 3&gt;2 p=0,000; 3&gt;4 p=0,000. A realatív testzsír százalék tekintetében (F%) az alábbi csoportok között jelentős szignifikancia mellett mutatható ki különbség: 1&lt;2 p=0,000; 1&lt;3 p=0,000; 1&lt;4 p=0,000; 3&lt;2 p=0,000; 3&lt;4 p=0,000. A testösszetétel és a fizikai aktivitás között szignifikáns kapcsolatot találtam, a korreláció ellentétes irányúnak bizonyult a két változó esetében: a relatív testzsír százalék (F%) vizsgálatakor [(r)=-0,33; (p=0,000)] és a relatív testizom százalék (M%) esetében [(r)=0,37; (p=0,000)] is a korreláció mértéke jelentős szignifikancia mellett is csekélynek mondható.</w:t>
      </w:r>
      <w:r>
        <w:rPr>
          <w:color w:val="000000"/>
          <w:sz w:val="24"/>
          <w:szCs w:val="24"/>
        </w:rPr>
        <w:br/>
        <w:t xml:space="preserve">A férfi és női humánbiológiai különbségek egyértelműek. A táplálkozásban nem, viszont a fizikai aktivitás mértékében van különbség. Az eredmények alapján 600 percnyi, azaz napi 1,5 óra mérsékelt intenzitású testmozgás szükséges a testarányok megváltoztatásához.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51011">
    <w:multiLevelType w:val="hybridMultilevel"/>
    <w:lvl w:ilvl="0" w:tplc="76372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51011">
    <w:abstractNumId w:val="20451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624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