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KÁRPÁTI ALIRÁN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alirankarpati@gmail.com</w:t>
            </w:r>
            <w:r w:rsidRPr="001067CD">
              <w:rPr>
                <w:i/>
              </w:rPr>
              <w:br/>
            </w:r>
            <w:r w:rsidR="00A96AEC">
              <w:t>Egészségügyi Szervező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Lukács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Egyetemi hallgatók tanulmányi motivációjának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elégedettség, hallgatók, motiváltság, tanulmányok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hallgatók motivációjának és elégedettségének vizsgálata segít megérteni, miért</w:t>
      </w:r>
      <w:r>
        <w:rPr>
          <w:color w:val="000000"/>
          <w:sz w:val="24"/>
          <w:szCs w:val="24"/>
        </w:rPr>
        <w:br/>
        <w:t xml:space="preserve">választják a felsőoktatást, valamint milyen tényezők ösztönzi őket tanulmányaik folytatására.</w:t>
      </w:r>
      <w:r>
        <w:rPr>
          <w:color w:val="000000"/>
          <w:sz w:val="24"/>
          <w:szCs w:val="24"/>
        </w:rPr>
        <w:br/>
        <w:t xml:space="preserve">Az így nyert ismeretek hozzájárulhatnak a hallgatók elköteleződésének erősítéséhez és a</w:t>
      </w:r>
      <w:r>
        <w:rPr>
          <w:color w:val="000000"/>
          <w:sz w:val="24"/>
          <w:szCs w:val="24"/>
        </w:rPr>
        <w:br/>
        <w:t xml:space="preserve">lemorzsolódás csökkentéséhez. A kutatás célja a motivációt és az elégedettséget befolyásoló</w:t>
      </w:r>
      <w:r>
        <w:rPr>
          <w:color w:val="000000"/>
          <w:sz w:val="24"/>
          <w:szCs w:val="24"/>
        </w:rPr>
        <w:br/>
        <w:t xml:space="preserve">tényezők feltárása.</w:t>
      </w:r>
      <w:r>
        <w:rPr>
          <w:color w:val="000000"/>
          <w:sz w:val="24"/>
          <w:szCs w:val="24"/>
        </w:rPr>
        <w:br/>
        <w:t xml:space="preserve">Módszerek: A vizsgálatot a Miskolci Egyetem hallgatói körében végeztem online kérdőíves</w:t>
      </w:r>
      <w:r>
        <w:rPr>
          <w:color w:val="000000"/>
          <w:sz w:val="24"/>
          <w:szCs w:val="24"/>
        </w:rPr>
        <w:br/>
        <w:t xml:space="preserve">felméréssel. A kérdőív a demográfiai adatok mellett két standardizált skálát tartalmazott: az</w:t>
      </w:r>
      <w:r>
        <w:rPr>
          <w:color w:val="000000"/>
          <w:sz w:val="24"/>
          <w:szCs w:val="24"/>
        </w:rPr>
        <w:br/>
        <w:t xml:space="preserve">Academic Motivation Scale (AMS) és a University Student's Motivation &amp; Satisfaction</w:t>
      </w:r>
      <w:r>
        <w:rPr>
          <w:color w:val="000000"/>
          <w:sz w:val="24"/>
          <w:szCs w:val="24"/>
        </w:rPr>
        <w:br/>
        <w:t xml:space="preserve">Questionnaire-2-t. A skálák lingvisztikai validálása megtörtént, belső megbízhatóságuk</w:t>
      </w:r>
      <w:r>
        <w:rPr>
          <w:color w:val="000000"/>
          <w:sz w:val="24"/>
          <w:szCs w:val="24"/>
        </w:rPr>
        <w:br/>
        <w:t xml:space="preserve">megfelelő volt (Cronbach α = 0,901 és 0,761). Az adatok feldolgozása az SPSS 28.0</w:t>
      </w:r>
      <w:r>
        <w:rPr>
          <w:color w:val="000000"/>
          <w:sz w:val="24"/>
          <w:szCs w:val="24"/>
        </w:rPr>
        <w:br/>
        <w:t xml:space="preserve">statisztikai szoftverrel történt.</w:t>
      </w:r>
      <w:r>
        <w:rPr>
          <w:color w:val="000000"/>
          <w:sz w:val="24"/>
          <w:szCs w:val="24"/>
        </w:rPr>
        <w:br/>
        <w:t xml:space="preserve">Eredmények: Összesen 591 fő értékelhető kérdőív érkezett be. A válaszadók átlagéletkora</w:t>
      </w:r>
      <w:r>
        <w:rPr>
          <w:color w:val="000000"/>
          <w:sz w:val="24"/>
          <w:szCs w:val="24"/>
        </w:rPr>
        <w:br/>
        <w:t xml:space="preserve">29,24 ±10,57 év volt, 60,6%-a nő. A többségük átlagos anyagi helyzettel rendelkezett, BSc</w:t>
      </w:r>
      <w:r>
        <w:rPr>
          <w:color w:val="000000"/>
          <w:sz w:val="24"/>
          <w:szCs w:val="24"/>
        </w:rPr>
        <w:br/>
        <w:t xml:space="preserve">tanulmányokat folytatott és a nappali és levelező tagozatos hallgatók aránya kiegyenlített volt.</w:t>
      </w:r>
      <w:r>
        <w:rPr>
          <w:color w:val="000000"/>
          <w:sz w:val="24"/>
          <w:szCs w:val="24"/>
        </w:rPr>
        <w:br/>
        <w:t xml:space="preserve">A középiskolából érkezők többsége jó vagy kiváló eredménnyel kezdte meg felsőfokú</w:t>
      </w:r>
      <w:r>
        <w:rPr>
          <w:color w:val="000000"/>
          <w:sz w:val="24"/>
          <w:szCs w:val="24"/>
        </w:rPr>
        <w:br/>
        <w:t xml:space="preserve">tanulmányait. A hallgatók elsősorban az oktatók szakmai felkészültségével, az oktatás</w:t>
      </w:r>
      <w:r>
        <w:rPr>
          <w:color w:val="000000"/>
          <w:sz w:val="24"/>
          <w:szCs w:val="24"/>
        </w:rPr>
        <w:br/>
        <w:t xml:space="preserve">minőségével és a szociális interakció lehetőségével voltak elégedettek. Az AMS kérdőív</w:t>
      </w:r>
      <w:r>
        <w:rPr>
          <w:color w:val="000000"/>
          <w:sz w:val="24"/>
          <w:szCs w:val="24"/>
        </w:rPr>
        <w:br/>
        <w:t xml:space="preserve">alapján számolt önmeghatározási index átlagértéke 3,71 ±5,91 volt, és a nemek között nem</w:t>
      </w:r>
      <w:r>
        <w:rPr>
          <w:color w:val="000000"/>
          <w:sz w:val="24"/>
          <w:szCs w:val="24"/>
        </w:rPr>
        <w:br/>
        <w:t xml:space="preserve">mutatkozott szignifikáns különbség. Mind a belső, mind a külső motiváció szerepet játszott a</w:t>
      </w:r>
      <w:r>
        <w:rPr>
          <w:color w:val="000000"/>
          <w:sz w:val="24"/>
          <w:szCs w:val="24"/>
        </w:rPr>
        <w:br/>
        <w:t xml:space="preserve">tanulmányok folytatásában. A regressziós elemzés szerint a motiváció szignifikáns előrejelzői</w:t>
      </w:r>
      <w:r>
        <w:rPr>
          <w:color w:val="000000"/>
          <w:sz w:val="24"/>
          <w:szCs w:val="24"/>
        </w:rPr>
        <w:br/>
        <w:t xml:space="preserve">az egyetemi környezettel való elégedettség (β = 0,570; p &lt; 0,001) és a középiskolai</w:t>
      </w:r>
      <w:r>
        <w:rPr>
          <w:color w:val="000000"/>
          <w:sz w:val="24"/>
          <w:szCs w:val="24"/>
        </w:rPr>
        <w:br/>
        <w:t xml:space="preserve">tanulmányi eredmény (β = -0,073; p &lt; 0,037).</w:t>
      </w:r>
      <w:r>
        <w:rPr>
          <w:color w:val="000000"/>
          <w:sz w:val="24"/>
          <w:szCs w:val="24"/>
        </w:rPr>
        <w:br/>
        <w:t xml:space="preserve">Következtetés: Az eredmények azt mutatják, hogy a hallgatók többsége motivált a</w:t>
      </w:r>
      <w:r>
        <w:rPr>
          <w:color w:val="000000"/>
          <w:sz w:val="24"/>
          <w:szCs w:val="24"/>
        </w:rPr>
        <w:br/>
        <w:t xml:space="preserve">felsőoktatásban folytatott tanulmányok végzésére, amelyben mind belső, mind külső tényezők</w:t>
      </w:r>
      <w:r>
        <w:rPr>
          <w:color w:val="000000"/>
          <w:sz w:val="24"/>
          <w:szCs w:val="24"/>
        </w:rPr>
        <w:br/>
        <w:t xml:space="preserve">szerepet játszanak. Az egyetemi környezettel való elégedettség a motiváció egyik</w:t>
      </w:r>
      <w:r>
        <w:rPr>
          <w:color w:val="000000"/>
          <w:sz w:val="24"/>
          <w:szCs w:val="24"/>
        </w:rPr>
        <w:br/>
        <w:t xml:space="preserve">legfontosabb előrejelzője, ami rámutat a támogató és inspiráló tanulási környezet</w:t>
      </w:r>
      <w:r>
        <w:rPr>
          <w:color w:val="000000"/>
          <w:sz w:val="24"/>
          <w:szCs w:val="24"/>
        </w:rPr>
        <w:br/>
        <w:t xml:space="preserve">kialakításának fontosságára. Ezenkívül a középiskolai tanulmányi eredmények is meghatározó</w:t>
      </w:r>
      <w:r>
        <w:rPr>
          <w:color w:val="000000"/>
          <w:sz w:val="24"/>
          <w:szCs w:val="24"/>
        </w:rPr>
        <w:br/>
        <w:t xml:space="preserve">tényezőnek bizonyultak, mivel a jobb eredménnyel érkező hallgatók motiváltabbnak</w:t>
      </w:r>
      <w:r>
        <w:rPr>
          <w:color w:val="000000"/>
          <w:sz w:val="24"/>
          <w:szCs w:val="24"/>
        </w:rPr>
        <w:br/>
        <w:t xml:space="preserve">mutatkoztak. A kutatás eredményei rávilágítanak a hallgatói élmény folyamatos</w:t>
      </w:r>
      <w:r>
        <w:rPr>
          <w:color w:val="000000"/>
          <w:sz w:val="24"/>
          <w:szCs w:val="24"/>
        </w:rPr>
        <w:br/>
        <w:t xml:space="preserve">fejlesztésének fontosságára, amely elősegíti a hallgatók megtartását és a tanulmányok sikeres</w:t>
      </w:r>
      <w:r>
        <w:rPr>
          <w:color w:val="000000"/>
          <w:sz w:val="24"/>
          <w:szCs w:val="24"/>
        </w:rPr>
        <w:br/>
        <w:t xml:space="preserve">előmozdítását.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51839">
    <w:multiLevelType w:val="hybridMultilevel"/>
    <w:lvl w:ilvl="0" w:tplc="47189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51839">
    <w:abstractNumId w:val="133518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460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