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BONCZ MÁRIA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bonczmaria@gmail.com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Szakonyi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Bai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Bifunkciós di- és szeszkviterpén vázas 1,3- és 1,4-aminoalkohol származékok sztereoszelektív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terpénkémia; antiproliferatív hatás; Wagner-Meerwein átrendeződés; szantonin; szteviol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természetes forrásból nyerhető szeszkvi – és diterpének</w:t>
      </w:r>
      <w:r>
        <w:rPr>
          <w:color w:val="000000"/>
          <w:sz w:val="24"/>
          <w:szCs w:val="24"/>
        </w:rPr>
        <w:br/>
        <w:t xml:space="preserve">számos biológiailag aktív vegyületcsalád szintézisének kiindulási anyagai.</w:t>
      </w:r>
      <w:r>
        <w:rPr>
          <w:color w:val="000000"/>
          <w:sz w:val="24"/>
          <w:szCs w:val="24"/>
        </w:rPr>
        <w:br/>
        <w:t xml:space="preserve">Ilyen az ent-kaurán vázzal rendelkező szteviol, mely a Stevia rebaudiana</w:t>
      </w:r>
      <w:r>
        <w:rPr>
          <w:color w:val="000000"/>
          <w:sz w:val="24"/>
          <w:szCs w:val="24"/>
        </w:rPr>
        <w:br/>
        <w:t xml:space="preserve">(jázminpakóca) szteviozid glikozidjából és a szantonin, ami az Artemisia</w:t>
      </w:r>
      <w:r>
        <w:rPr>
          <w:color w:val="000000"/>
          <w:sz w:val="24"/>
          <w:szCs w:val="24"/>
        </w:rPr>
        <w:br/>
        <w:t xml:space="preserve">maritima var. stechmannianaból állítható elő.</w:t>
      </w:r>
      <w:r>
        <w:rPr>
          <w:color w:val="000000"/>
          <w:sz w:val="24"/>
          <w:szCs w:val="24"/>
        </w:rPr>
        <w:br/>
        <w:t xml:space="preserve">Eredmények: Kutatásom során feladatomul kaptam antiproliferatív hatású</w:t>
      </w:r>
      <w:r>
        <w:rPr>
          <w:color w:val="000000"/>
          <w:sz w:val="24"/>
          <w:szCs w:val="24"/>
        </w:rPr>
        <w:br/>
        <w:t xml:space="preserve">szeszkvi- és diterpén 1,3- és 1,4-aminoalkoholok sztereoszelektív</w:t>
      </w:r>
      <w:r>
        <w:rPr>
          <w:color w:val="000000"/>
          <w:sz w:val="24"/>
          <w:szCs w:val="24"/>
        </w:rPr>
        <w:br/>
        <w:t xml:space="preserve">szintézisét. A megfelelő aminoalkohol regioizomerekhez (2-3) egy</w:t>
      </w:r>
      <w:r>
        <w:rPr>
          <w:color w:val="000000"/>
          <w:sz w:val="24"/>
          <w:szCs w:val="24"/>
        </w:rPr>
        <w:br/>
        <w:t xml:space="preserve">kulcsfontosságú, ent-beyerán vázzal rendelkező β-keto-alkoholon keresztül</w:t>
      </w:r>
      <w:r>
        <w:rPr>
          <w:color w:val="000000"/>
          <w:sz w:val="24"/>
          <w:szCs w:val="24"/>
        </w:rPr>
        <w:br/>
        <w:t xml:space="preserve">jutottam el, melyet szteviol-metilészterből kiindulva az epoxid vegyület</w:t>
      </w:r>
      <w:r>
        <w:rPr>
          <w:color w:val="000000"/>
          <w:sz w:val="24"/>
          <w:szCs w:val="24"/>
        </w:rPr>
        <w:br/>
        <w:t xml:space="preserve">Wagner-Meerwein típusú átrendeződésével kaptam meg. A szantoninból (4)</w:t>
      </w:r>
      <w:r>
        <w:rPr>
          <w:color w:val="000000"/>
          <w:sz w:val="24"/>
          <w:szCs w:val="24"/>
        </w:rPr>
        <w:br/>
        <w:t xml:space="preserve">kiindulva két lépésben jutottam egy kulcsintermedier laktonhoz, melyből</w:t>
      </w:r>
      <w:r>
        <w:rPr>
          <w:color w:val="000000"/>
          <w:sz w:val="24"/>
          <w:szCs w:val="24"/>
        </w:rPr>
        <w:br/>
        <w:t xml:space="preserve">hidrazidos gyűrűnyitást követő redukció eredményezte az alapvegyület</w:t>
      </w:r>
      <w:r>
        <w:rPr>
          <w:color w:val="000000"/>
          <w:sz w:val="24"/>
          <w:szCs w:val="24"/>
        </w:rPr>
        <w:br/>
        <w:t xml:space="preserve">primer 1,4-aminoalkoholt (5, R = H).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168000" cy="2664000"/>
            <wp:docPr id="43593146" name="name167af33db117d9" descr="imgtmp_96143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6143_hu_1.png"/>
                    <pic:cNvPicPr/>
                  </pic:nvPicPr>
                  <pic:blipFill>
                    <a:blip r:embed="rId167af33db117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266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szintetizált vegyületek szerkezetigazolása HRMS és NMR</w:t>
      </w:r>
      <w:r>
        <w:rPr>
          <w:color w:val="000000"/>
          <w:sz w:val="24"/>
          <w:szCs w:val="24"/>
        </w:rPr>
        <w:br/>
        <w:t xml:space="preserve">spektroszkópiával történt. Az aminoalkoholok in vitro farmakológiai</w:t>
      </w:r>
      <w:r>
        <w:rPr>
          <w:color w:val="000000"/>
          <w:sz w:val="24"/>
          <w:szCs w:val="24"/>
        </w:rPr>
        <w:br/>
        <w:t xml:space="preserve">vizsgálata során figyelemre méltó antiproliferatív hatásokat figyeltünk meg,</w:t>
      </w:r>
      <w:r>
        <w:rPr>
          <w:color w:val="000000"/>
          <w:sz w:val="24"/>
          <w:szCs w:val="24"/>
        </w:rPr>
        <w:br/>
        <w:t xml:space="preserve">melyek hatás-szerkezet összefüggései alapját képezhetik további, hatékony</w:t>
      </w:r>
      <w:r>
        <w:rPr>
          <w:color w:val="000000"/>
          <w:sz w:val="24"/>
          <w:szCs w:val="24"/>
        </w:rPr>
        <w:br/>
        <w:t xml:space="preserve">vegyületek tervezésének.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46059">
    <w:multiLevelType w:val="hybridMultilevel"/>
    <w:lvl w:ilvl="0" w:tplc="78032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46059">
    <w:abstractNumId w:val="973460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944706" Type="http://schemas.openxmlformats.org/officeDocument/2006/relationships/numbering" Target="numbering.xml"/><Relationship Id="rId167af33db11799" Type="http://schemas.openxmlformats.org/officeDocument/2006/relationships/image" Target="media/imgrId167af33db1179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