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deak.nora18@gmail.com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Barzó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sérelemdíj szabályozása és gyakorlati problémái a Polgári Törvénykönyv első évtizedében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sérelemdíj; bizonyítási teher; reparáció; prevenció; bagatell igények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sérelemdíj és annak különböző dogmatikai problémái, amelyek a szabályozásának sajátosságából erednek. Különlegessége abban áll, hogy a jogszabály nem rendel bizonyítási kötelezettséget a beállott sérelmekre, illetve azok nagy része nemis bizonyítható, ebből adódóan meglehetősen nagy mérlegelési jogot ad a bíróságok kezébe. Következésképpen megítélésére és mértékére különböző nézőpontok alakultak ki mind a jogalkalmazók, mind a jogtudósok körében, többek között ez volt az oka annak, hogy ez a téma felkeltette az érdeklődésemet. Vitathatatlan továbbá az aktualitása és az előfordulása a mindennapi életben, hiszen a személyiségi jogok a védett érdekek olyan széles körét fedik le, hogy az azok megsértéséből eredő igények rengeteg munkát adnak a bíróságok számára. Kezdve a testi lelki sérelmek okozásától, egészen a sajtóban megjelenő jó hírnév megsértésére alkalmas hírek megjelenéséig vagy a közösségi média platformjaira feltöltött képek jogellenes felhasználásáig.</w:t>
      </w:r>
      <w:r>
        <w:rPr>
          <w:color w:val="000000"/>
          <w:sz w:val="24"/>
          <w:szCs w:val="24"/>
        </w:rPr>
        <w:br/>
        <w:t xml:space="preserve">Dolgozatomban először a sérelemdíj intézményének történeti áttekintését ismertetem, azt követően a hatályos szabályozást, részletesen kitérve annak funkcióira, feltételeire, a kimentés szabályaira és a problémaira adott egyes megoldásokra. A dolgozat végén nagy vonalakban ismertettem néhány európai országra jellemző szabályozási módszert, amelyek közül többől merítettem ihletet saját álláspontom kialakításához.</w:t>
      </w:r>
      <w:r>
        <w:rPr>
          <w:color w:val="000000"/>
          <w:sz w:val="24"/>
          <w:szCs w:val="24"/>
        </w:rPr>
        <w:br/>
        <w:t xml:space="preserve">Célom az volt, hogy sikerüljön mély és átfogó ismereteket szereznem a témában és esetlegesen saját álláspontot is kialakítanom.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28207">
    <w:multiLevelType w:val="hybridMultilevel"/>
    <w:lvl w:ilvl="0" w:tplc="16202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28207">
    <w:abstractNumId w:val="59628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288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