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DANCSY ADRIENN KAROLINA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dancsyadrienn@gmail.com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Csemáné Dr. Váradi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gyermek, mint eszköz - A kapcsolati erőszak jogi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,,aszódi kettős gyerekgyilkosság"; emberölés; rendszerhiba; kapcsolattartás; kapcsolati erőszak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gyermek, mint eszköz — A kapcsolati erőszak jogi 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child as an instrument – Legal analyses of the domestic violence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Több, mint két év telt el az ,,aszódi kettős gyerekgyilkosság"-ként elhíresült bűncselekmény elkövetése óta, ahol egy apa a kapcsolattartási idő alatt a Btk. minősített emberölési esetei közül néggyel: előre kitervelten, különös kegyetlenséggel, több ember sérelmére és védekezésre képtelen személyek sérelmére követett el emberölést úgy, hogy egy baltával kivégezte a két tizenéves lányát. A nyomozóhatóság az eljárás során módosította az eljárás minősítését, miszerint az aljas indok, mint további minősítő körülmény nem megállapítható. A 16 éves Júlia, és a 14 éves Tímea (tehát épphogy nem említhető a tizennegyedik életévet be nem töltött személy sérelmére elkövetett minősítés) esett áldozatául annak a férfinak, aki ellen a volt felesége négy alkalommal tett feljelentést és két alkalommal kért távoltartást vele szemben. A büntetőeljárást az eltelt idő alatt lezárták, és az ítélet a férfival szemben tényleges életfogytig tartó szabadságvesztés, szabadlábra helyezés esélyének kizárásával. Dolgozatomban a választ arra keresem, hogy hogyan történhetett meg mindez?</w:t>
      </w:r>
      <w:r>
        <w:rPr>
          <w:color w:val="000000"/>
          <w:sz w:val="24"/>
          <w:szCs w:val="24"/>
        </w:rPr>
        <w:br/>
        <w:t xml:space="preserve">Munkám során többek között vizsgálni igyekeztem a bűncselekmény elkövetésének előzményeit, a szülők házasságának megromlásától kezdve a tragédiához vezető eseményeken át az érintett hatóságok és szakemberek által elkövetett mulasztásokig. Tisztázni igyekeztem a kapcsolódó fogalmakat. A kutató munkám kiterjedt az igazságügyi pszichológus szakértő szerepére a házassági bontóperben, ahogyan a szakértői vizsgálat elemzésére is. Igyekeztem ismertetni a felügyelt kapcsolattartásban rejlő perspektívát, mivel úgy gondolom, ez az intézmény eszköz lehetne a hasonló tragédiák megelőzésében. </w:t>
      </w:r>
      <w:r>
        <w:rPr>
          <w:color w:val="000000"/>
          <w:sz w:val="24"/>
          <w:szCs w:val="24"/>
        </w:rPr>
        <w:br/>
        <w:t xml:space="preserve">A dolgozat konklúziójaként összegezni szeretném az eseményeket, keresve a választ, hogy vajon ki vagy kik hibázhattak, és miért? Minek kellett volna történnie, vagy inkább nem történnie, hogy az ilyen és hasonló bűncselekmények megelőzhetőek legyenek? Milyen a nők és a gyerekek társadalmi megítélése napjainkban Magyarországon? Hol bújik meg az a rendszerhiba, ami miatt évtizedek óta nem sikerül elkerülni az ehhez hasonló tragédiákat?</w:t>
      </w:r>
      <w:r>
        <w:rPr>
          <w:color w:val="000000"/>
          <w:sz w:val="24"/>
          <w:szCs w:val="24"/>
        </w:rPr>
        <w:br/>
        <w:t xml:space="preserve">A számos kérdés feltétele mellett dolgozatomban igyekeztem megoldási javaslatokkal is előállni, egy olyan biztonságos jövő megteremtésén gondolkodni és létrehozásában segédkezni, amelyben nem hangozhatna el a jövőben egy olyan mondat, hogy: „nem vettek komolyan.”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16838">
    <w:multiLevelType w:val="hybridMultilevel"/>
    <w:lvl w:ilvl="0" w:tplc="93539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16838">
    <w:abstractNumId w:val="711168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788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