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KARIM HADJADJ</w:t>
            </w:r>
          </w:p>
          <w:p w:rsidR="00C275A3" w:rsidRDefault="00CA6B74" w:rsidP="00C275A3">
            <w:pPr>
              <w:pStyle w:val="Hallgatokepzes"/>
            </w:pPr>
            <w:r w:rsidRPr="001067CD">
              <w:rPr>
                <w:i/>
              </w:rPr>
              <w:t>karimhadjadj20011009@outlook.com</w:t>
            </w:r>
            <w:r w:rsidRPr="001067CD">
              <w:rPr>
                <w:i/>
              </w:rPr>
              <w:br/>
            </w:r>
            <w:r w:rsidR="00A96AEC">
              <w:t>Finance and Accounting</w:t>
            </w:r>
            <w:r w:rsidR="00A96AEC">
              <w:br/>
            </w:r>
            <w:r w:rsidR="00E77B23">
              <w:t>BA, 5.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Szilárd Hegedűs PhD</w:t>
            </w:r>
          </w:p>
          <w:p w:rsidR="00DB4822" w:rsidRDefault="00DB4822" w:rsidP="00BA6BAF">
            <w:pPr>
              <w:pStyle w:val="Konzulensektitulus"/>
            </w:pPr>
            <w:r w:rsidRPr="00DB4822">
              <w:t>college 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Tax Systems in OECD Member Countries.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Tax; OECD; Multivariate statistical analysis; Competitiveness; Time series analysis</w:t>
      </w:r>
      <w:r>
        <w:t xml:space="preserve"/>
      </w:r>
    </w:p>
    <w:p>
      <w:pPr>
        <w:widowControl w:val="on"/>
        <w:pBdr/>
        <w:spacing w:before="240" w:after="240" w:line="240" w:lineRule="auto"/>
        <w:ind w:left="0" w:right="0"/>
        <w:jc w:val="left"/>
      </w:pPr>
      <w:r>
        <w:rPr>
          <w:color w:val="000000"/>
          <w:sz w:val="24"/>
          <w:szCs w:val="24"/>
        </w:rPr>
        <w:t xml:space="preserve">Nowadays, it has become an increasingly important question of how to make a country's taxation system more efficient. Countries have made numerous attempts to achieve this goal. The current goal within the European Union is still to establish a unified taxation system for a more cohesive framework. The objective of my research is to identify which types of taxes and factors have influencing power that truly affect the functioning of the taxation system. what kind of lessons can be learned from the operation of the taxation system in the years 2019, 2020, 2021, and 2022. Additionally, what tools do countries have to address the emerging difficulties.</w:t>
      </w:r>
    </w:p>
    <w:p>
      <w:pPr>
        <w:widowControl w:val="on"/>
        <w:pBdr/>
        <w:spacing w:before="240" w:after="240" w:line="240" w:lineRule="auto"/>
        <w:ind w:left="0" w:right="0"/>
        <w:jc w:val="left"/>
      </w:pPr>
      <w:r>
        <w:rPr>
          <w:color w:val="000000"/>
          <w:sz w:val="24"/>
          <w:szCs w:val="24"/>
        </w:rPr>
        <w:t xml:space="preserve">Preparing my research, I utilized Hungarian and English sources that greatly aided in understanding the fundamental issues. The majority of sources argued for the efficiency of tax systems. A crucial observation made by the sources is that the taxation system is merely an element that can either enhance or worsen a country's economic competitiveness. The research aims to achieve and analyze this goal with various statistical methodologies. The research results accurately reflects the current tax policies used by countries and their utility weight. Within the OECD, it is clear which directions are intended for orientation and which guiding principles we should follow. As economists, should abandon or reform in order to maintain the applicability capabilities of countries.</w:t>
      </w:r>
    </w:p>
    <w:p>
      <w:pPr>
        <w:widowControl w:val="on"/>
        <w:pBdr/>
        <w:spacing w:before="240" w:after="240" w:line="240" w:lineRule="auto"/>
        <w:ind w:left="0" w:right="0"/>
        <w:jc w:val="left"/>
      </w:pPr>
      <w:r>
        <w:rPr>
          <w:color w:val="000000"/>
          <w:sz w:val="24"/>
          <w:szCs w:val="24"/>
        </w:rPr>
        <w:t xml:space="preserve">The importance of the topic is unquestionable because taxation issues are constantly changing. Leading to the implementation of more stringent tax regulations. Understanding these regulations is complicated and the economic roles often misunderstand them. The research pointed out the taxation regulations problems. To understand the relationships, I performed correlation and principal component analyses to determine which tax burden indicators make the greatest influence. The research strongly believes that a taxation will be effective If maintaining the simplicity principle, which can enhance tax morale.</w:t>
      </w:r>
    </w:p>
    <w:p>
      <w:pPr>
        <w:widowControl w:val="on"/>
        <w:pBdr/>
        <w:spacing w:before="240" w:after="240" w:line="240" w:lineRule="auto"/>
        <w:ind w:left="0" w:right="0"/>
        <w:jc w:val="left"/>
      </w:pPr>
      <w:r>
        <w:rPr>
          <w:color w:val="000000"/>
          <w:sz w:val="24"/>
          <w:szCs w:val="24"/>
        </w:rPr>
        <w:t xml:space="preserve">In conclusion, the research results in a proposal that aims to enhance the efficiency of the taxation system. We must strive to create a more transparent system for taxpayers. The research indicated that there were no notable changes throughout the examined years. This is the main reason why we have to create a better taxation system to enhance the  OECD countries ccompetitiveness.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770242">
    <w:multiLevelType w:val="hybridMultilevel"/>
    <w:lvl w:ilvl="0" w:tplc="397957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770242">
    <w:abstractNumId w:val="107702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03014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