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GRÁCZER ALEXANDRA</w:t>
            </w:r>
          </w:p>
          <w:p w:rsidR="00C275A3" w:rsidRDefault="00CA6B74" w:rsidP="00C275A3">
            <w:pPr>
              <w:pStyle w:val="Hallgatokepzes"/>
            </w:pPr>
            <w:r w:rsidRPr="001067CD">
              <w:rPr>
                <w:i/>
              </w:rPr>
              <w:t>graczeralexandra@gmail.com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HUDÁK ZOLTÁN</w:t>
            </w:r>
          </w:p>
          <w:p w:rsidR="00DB4822" w:rsidRDefault="00CA6B74" w:rsidP="004D7940">
            <w:pPr>
              <w:pStyle w:val="Hallgatokepzes"/>
            </w:pPr>
            <w:r w:rsidRPr="001067CD">
              <w:rPr>
                <w:i/>
              </w:rPr>
              <w:t>hudakzoltan96@gmail.com</w:t>
            </w:r>
            <w:bookmarkStart w:id="1" w:name="_GoBack"/>
            <w:bookmarkEnd w:id="1"/>
            <w:r w:rsidRPr="001067CD">
              <w:br/>
            </w:r>
            <w:r w:rsidR="00C275A3">
              <w:t>Biológia</w:t>
            </w:r>
            <w:r w:rsidR="00A96AEC">
              <w:br/>
              <w:t>BSc,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Természettudományi és Informatikai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 Kecskés Szilvia</w:t>
            </w:r>
          </w:p>
          <w:p w:rsidR="00DB4822" w:rsidRDefault="00DB4822" w:rsidP="00BA6BAF">
            <w:pPr>
              <w:pStyle w:val="Konzulensektitulus"/>
            </w:pPr>
            <w:r w:rsidRPr="00DB4822">
              <w:t>egyetemi adjunktus, SZTE SZAOK</w:t>
            </w:r>
          </w:p>
        </w:tc>
      </w:tr>
      <w:tr w:rsidR="00DB4822" w:rsidTr="00DB4822">
        <w:tc>
          <w:tcPr>
            <w:tcW w:w="9854" w:type="dxa"/>
          </w:tcPr>
          <w:p w:rsidR="00DB4822" w:rsidRPr="00DB4822" w:rsidRDefault="00DB4822" w:rsidP="00BA6BAF">
            <w:pPr>
              <w:pStyle w:val="Konzulenseknev"/>
            </w:pPr>
            <w:r w:rsidRPr="00DB4822">
              <w:t>Farkas Eszter</w:t>
            </w:r>
          </w:p>
          <w:p w:rsidR="00DB4822" w:rsidRDefault="00DB4822" w:rsidP="00BA6BAF">
            <w:pPr>
              <w:pStyle w:val="Konzulensektitulus"/>
            </w:pPr>
            <w:r w:rsidRPr="00DB4822">
              <w:t>egyetemi tanár,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dasatinib és a quercetin potenciális neuroprotektív hatásainak vizsgálata a fokális iszkémia idős patkánymodelljében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stroke; dasatinib; quercetin; terjedő depolarizáció</w:t>
      </w:r>
      <w:r>
        <w:t xml:space="preserve"/>
      </w:r>
    </w:p>
    <w:p>
      <w:pPr>
        <w:widowControl w:val="on"/>
        <w:pBdr/>
        <w:spacing w:before="240" w:after="240" w:line="240" w:lineRule="auto"/>
        <w:ind w:left="0" w:right="0"/>
        <w:jc w:val="left"/>
      </w:pPr>
      <w:r>
        <w:rPr>
          <w:color w:val="000000"/>
          <w:sz w:val="24"/>
          <w:szCs w:val="24"/>
        </w:rPr>
        <w:t xml:space="preserve">Bevezetés: Az iszkémiás stroke előfordulási gyakorisága idős korban meredeken emelkedik, ismert rizikófaktora az extrakraniális erek sztenózisa. A dasatinib és a quercetin együttes alkalmazása perifériás szövetekben korábban szenolitikus hatásúnak bizonyult. Célunk volt felmérni a szenolitikus terápia védő hatását az időskori sztenózist követő fokális iszkémiás stroke rágcsáló modelljében.</w:t>
      </w:r>
      <w:r>
        <w:rPr>
          <w:color w:val="000000"/>
          <w:sz w:val="24"/>
          <w:szCs w:val="24"/>
        </w:rPr>
        <w:br/>
        <w:br/>
        <w:t xml:space="preserve">Módszerek: Idős (18-24 hónapos), izofluránnal altatott Wistar patkányokban az a. carotis communis egyoldali lekötésével (CCAO) az idősekben gyakori sztenózist imitáltuk. A CCAO-t követően az állatok kétnaponta dasatinib-quercetin vagy oldószer kezelést kaptak (i.p., 5 mg/kg dasatinib, 50 mg/kg quercetin). Két hét elteltével az a. cerebri media disztális ágának okklúziójával fokális iszkémiát hoztunk létre, 60 perccel később az okklúzió feloldásával reperfúzót indukáltunk. Koponyaablakon keresztül az agykérgi vérátáramlás változásait lézer szórási folt interferencia analízissel, a spontán megjelenő terjedő depolarizációkat (SD) elektrofiziológiai elvezetéssel regisztráltuk. A reperfúzió alatt további, kísérletesen kiváltott SD-kel mértük fel az agyszövet ingerelhetőségét.</w:t>
      </w:r>
      <w:r>
        <w:rPr>
          <w:color w:val="000000"/>
          <w:sz w:val="24"/>
          <w:szCs w:val="24"/>
        </w:rPr>
        <w:br/>
        <w:br/>
        <w:t xml:space="preserve">Eredmények: A dasatinib-quercetin kezelés a szisztémás fiziológiai paraméterekre nem volt számottevő hatással. A fokális iszkémia indukciója lényeges agykérgi vérátáramlásesést eredményezett mindkét csoportban (35,6±15,4%). A kezelt állatokban az iszkémia alatt szignifikánsan kevesebb spontán SD-t figyeltünk meg a kontroll állatokhoz képest (1,0±0 vs. 3,3±1,5 SD/h kezelt vs. kontroll). A reperfúzió során kiváltott SD-k száma is szignifikánsan kevesebbnek bizonyult (2,5±0,7 vs. 6,7±1,5 SD/h, kezelt vs. kontroll).</w:t>
      </w:r>
      <w:r>
        <w:rPr>
          <w:color w:val="000000"/>
          <w:sz w:val="24"/>
          <w:szCs w:val="24"/>
        </w:rPr>
        <w:br/>
        <w:br/>
        <w:t xml:space="preserve">Megbeszélés: Az SD-k ismétlődő megjelenése az akut iszkémiás stroke-ban súlyosbítja a betegség kimenetelét. A dasatinib-quercetin kezeléssel modellünkben az SD gátlását tapasztaltuk. További szövettani vizsgálataink értékelik a kezelés szenolitikus hatását és annak összefüggését az SD-vel. Eddigi eredményeink alapján a vizsgált hatóanyag neuroprotektív hatását feltételezzük.</w:t>
      </w:r>
    </w:p>
    <w:p>
      <w:pPr>
        <w:widowControl w:val="on"/>
        <w:pBdr/>
        <w:spacing w:before="240" w:after="240" w:line="240" w:lineRule="auto"/>
        <w:ind w:left="0" w:right="0"/>
        <w:jc w:val="left"/>
      </w:pPr>
      <w:r>
        <w:rPr>
          <w:color w:val="000000"/>
          <w:sz w:val="24"/>
          <w:szCs w:val="24"/>
        </w:rPr>
        <w:br/>
        <w:t xml:space="preserve">Támogató: NKFIH K134377, Horizon 2020 No. 739593, Nemzeti Agykutatási Program 3.0</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00054">
    <w:multiLevelType w:val="hybridMultilevel"/>
    <w:lvl w:ilvl="0" w:tplc="48303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00054">
    <w:abstractNumId w:val="88900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026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