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MARTIN GÁBOR</w:t>
            </w:r>
          </w:p>
          <w:p w:rsidR="00C275A3" w:rsidRDefault="00CA6B74" w:rsidP="00C275A3">
            <w:pPr>
              <w:pStyle w:val="Hallgatokepzes"/>
            </w:pPr>
            <w:r w:rsidRPr="001067CD">
              <w:rPr>
                <w:i/>
              </w:rPr>
              <w:t>technicmartin59@gmail.com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Bodor Gergely</w:t>
            </w:r>
          </w:p>
          <w:p w:rsidR="00DB4822" w:rsidRDefault="00DB4822" w:rsidP="00BA6BAF">
            <w:pPr>
              <w:pStyle w:val="Konzulensektitulus"/>
            </w:pPr>
            <w:r w:rsidRPr="00DB4822">
              <w:t>reumatológus szakorvos, SZTE SZAOK</w:t>
            </w:r>
          </w:p>
        </w:tc>
      </w:tr>
      <w:tr w:rsidR="00DB4822" w:rsidTr="00DB4822">
        <w:tc>
          <w:tcPr>
            <w:tcW w:w="9854" w:type="dxa"/>
          </w:tcPr>
          <w:p w:rsidR="00DB4822" w:rsidRPr="00DB4822" w:rsidRDefault="00DB4822" w:rsidP="00BA6BAF">
            <w:pPr>
              <w:pStyle w:val="Konzulenseknev"/>
            </w:pPr>
            <w:r w:rsidRPr="00DB4822">
              <w:t>Kovács László</w:t>
            </w:r>
          </w:p>
          <w:p w:rsidR="00DB4822" w:rsidRDefault="00DB4822" w:rsidP="00BA6BAF">
            <w:pPr>
              <w:pStyle w:val="Konzulensektitulus"/>
            </w:pPr>
            <w:r w:rsidRPr="00DB4822">
              <w:t>egyetemi tanár,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Cyclophosphamid és rituximab összehasonlítása súlyos szisztémás lupus erythematosus kezelésében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cyclophosphamid; rituximab; SLE</w:t>
      </w:r>
      <w:r>
        <w:t xml:space="preserve"/>
      </w:r>
    </w:p>
    <w:p>
      <w:pPr>
        <w:widowControl w:val="on"/>
        <w:pBdr/>
        <w:spacing w:before="240" w:after="240" w:line="240" w:lineRule="auto"/>
        <w:ind w:left="0" w:right="0"/>
        <w:jc w:val="left"/>
      </w:pPr>
      <w:r>
        <w:rPr>
          <w:color w:val="000000"/>
          <w:sz w:val="24"/>
          <w:szCs w:val="24"/>
        </w:rPr>
        <w:t xml:space="preserve">Célkitűzések: Súlyos szisztémás lupus erythematosus (SLE) esetében sokszor agresszív immunszupresszív kezelés szükséges. Az indukciós kezelés sikeressége kulcsfontosságú a szöveti károsodás megelőzésében. Célunk a cyclophosphamid (CYC) és rituximab (RTX) indukciós terápia összehasonlítása.</w:t>
      </w:r>
    </w:p>
    <w:p>
      <w:pPr>
        <w:widowControl w:val="on"/>
        <w:pBdr/>
        <w:spacing w:before="240" w:after="240" w:line="240" w:lineRule="auto"/>
        <w:ind w:left="0" w:right="0"/>
        <w:jc w:val="left"/>
      </w:pPr>
      <w:r>
        <w:rPr>
          <w:color w:val="000000"/>
          <w:sz w:val="24"/>
          <w:szCs w:val="24"/>
        </w:rPr>
        <w:br/>
        <w:t xml:space="preserve">Módszerek: Reumatológiai és Immunológiai Klinikán az elmúlt 5 évben súlyos SLE miatt kezelt betegek adatait retrospektíven vizsgáltuk. A betegségaktivitást és a szervi manifesztációk megoszlását SLEDAI-2K index alapján jellemeztük. A SLEDAI-2K index és szerológiai markerek változását, a steroid dózist, és az alacsony betegségaktivitást elérő betegek arányát értékeltük a 6. és 12. hónapban. A kezelés biztonságosságát az adverz események és infekciók számával jellemeztük.</w:t>
      </w:r>
    </w:p>
    <w:p>
      <w:pPr>
        <w:widowControl w:val="on"/>
        <w:pBdr/>
        <w:spacing w:before="240" w:after="240" w:line="240" w:lineRule="auto"/>
        <w:ind w:left="0" w:right="0"/>
        <w:jc w:val="left"/>
      </w:pPr>
      <w:r>
        <w:rPr>
          <w:color w:val="000000"/>
          <w:sz w:val="24"/>
          <w:szCs w:val="24"/>
        </w:rPr>
        <w:br/>
        <w:t xml:space="preserve">Eredmények: CYC: 33 eset (átlagéletkor 42,76±16,72 év). RTX: 35 eset (átlagéletkor 40,03±15,67 év). Kezdeti SLEDAI értékekben (CYC: 17,46±9,47; RTX: 13,11±7,34; p=0,06) valamint a szerológiai markerekben nem volt szignifikáns különbség. Mindkét kezelés mellett szignifikánsan csökkent 6. és 12. hónapban észlelt SLEDAI és szerológiai aktivitás, hatékonyságukban nem volt szignifikáns különbség. Azonban az RTX csoportban 12. hónap után több beteg teljesítette a remissziós kritériumot (CYC:5,59%; RTX:19,12%; p=0,017), továbbá alacsonyabb volt az indukciós (CYC:1728mg; RTX:970,5mg; p&lt;0,001) és kumulatív (CYC:3970mg; RTX:2142mg; p&lt;0,001) corticosteroid dózis. A CYC csoportban nem szignifikáns arányban, de többször jelentkezett mellékhatás (CYC:10,29%; RTX:4,41%; p=0,141). Infekciók kapcsán hasonló trend volt megfigyelhető (CYC:20,59%; RTX:13,24%; p=0,145).</w:t>
      </w:r>
    </w:p>
    <w:p>
      <w:pPr>
        <w:widowControl w:val="on"/>
        <w:pBdr/>
        <w:spacing w:before="240" w:after="240" w:line="240" w:lineRule="auto"/>
        <w:ind w:left="0" w:right="0"/>
        <w:jc w:val="left"/>
      </w:pPr>
      <w:r>
        <w:rPr>
          <w:color w:val="000000"/>
          <w:sz w:val="24"/>
          <w:szCs w:val="24"/>
        </w:rPr>
        <w:br/>
        <w:t xml:space="preserve">Következtetés: Mindkét terápia hatékony, azonban rituximabbal magasabb arányban értünk el remissziót. Beteganyagunkban a cyclophosphamid mellett magasabb corticosteroid dózis került alkalmazásra.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58976">
    <w:multiLevelType w:val="hybridMultilevel"/>
    <w:lvl w:ilvl="0" w:tplc="32030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58976">
    <w:abstractNumId w:val="21458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960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