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RITTER CSANÁD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ritter.csanad23@gmail.com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Csomós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Kincses Zsigmond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motoros tanulást meghatározó agyi hálózatok hálózat alapú fMRI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feladatfüggő fMRI; motoros tanulás; hálózatanalízis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Különböző fiziológiai vizsgálatok több agyterületet azonosítottak, amik a motoros</w:t>
      </w:r>
      <w:r>
        <w:rPr>
          <w:color w:val="000000"/>
          <w:sz w:val="24"/>
          <w:szCs w:val="24"/>
        </w:rPr>
        <w:br/>
        <w:t xml:space="preserve">tanulás egyes formáiban szerepet játszanak. Jelen funkcionális MRI vizsgálatunkban egy</w:t>
      </w:r>
      <w:r>
        <w:rPr>
          <w:color w:val="000000"/>
          <w:sz w:val="24"/>
          <w:szCs w:val="24"/>
        </w:rPr>
        <w:br/>
        <w:t xml:space="preserve">multivariáns analízis módszerrel az egymástól távollévő agyterületek motoros tanulás során</w:t>
      </w:r>
      <w:r>
        <w:rPr>
          <w:color w:val="000000"/>
          <w:sz w:val="24"/>
          <w:szCs w:val="24"/>
        </w:rPr>
        <w:br/>
        <w:t xml:space="preserve">mutatott dinamikus interakciójának a vizsgálatát tűztük ki célul.</w:t>
      </w:r>
      <w:r>
        <w:rPr>
          <w:color w:val="000000"/>
          <w:sz w:val="24"/>
          <w:szCs w:val="24"/>
        </w:rPr>
        <w:br/>
        <w:br/>
        <w:t xml:space="preserve">Módszerek: Hat egészséges, jobb kezes alanynál izotoniás mintázat-követő vizuo-motoros</w:t>
      </w:r>
      <w:r>
        <w:rPr>
          <w:color w:val="000000"/>
          <w:sz w:val="24"/>
          <w:szCs w:val="24"/>
        </w:rPr>
        <w:br/>
        <w:t xml:space="preserve">tanulás paradigma alatt felvett BOLD fMRI adatot rögzítettünk egy 3T MR készüléken. A</w:t>
      </w:r>
      <w:r>
        <w:rPr>
          <w:color w:val="000000"/>
          <w:sz w:val="24"/>
          <w:szCs w:val="24"/>
        </w:rPr>
        <w:br/>
        <w:t xml:space="preserve">feladat során az alanyoknak egy képernyőn megjelenő szinuszoidalisan váltakozó magasságú</w:t>
      </w:r>
      <w:r>
        <w:rPr>
          <w:color w:val="000000"/>
          <w:sz w:val="24"/>
          <w:szCs w:val="24"/>
        </w:rPr>
        <w:br/>
        <w:t xml:space="preserve">oszlop mozgását kellett egy ballon nyomásával-elengedésével követniük. A kifejtett erőről</w:t>
      </w:r>
      <w:r>
        <w:rPr>
          <w:color w:val="000000"/>
          <w:sz w:val="24"/>
          <w:szCs w:val="24"/>
        </w:rPr>
        <w:br/>
        <w:t xml:space="preserve">folyamatos visszajelzést kaptak egy másik oszlop magasságának formájában. Egymást követő</w:t>
      </w:r>
      <w:r>
        <w:rPr>
          <w:color w:val="000000"/>
          <w:sz w:val="24"/>
          <w:szCs w:val="24"/>
        </w:rPr>
        <w:br/>
        <w:t xml:space="preserve">30s-os blokkokban egy nehéz és egy könnyű szekvenciát tanultak az alanyok 10-10 blokkon</w:t>
      </w:r>
      <w:r>
        <w:rPr>
          <w:color w:val="000000"/>
          <w:sz w:val="24"/>
          <w:szCs w:val="24"/>
        </w:rPr>
        <w:br/>
        <w:t xml:space="preserve">keresztül.</w:t>
      </w:r>
      <w:r>
        <w:rPr>
          <w:color w:val="000000"/>
          <w:sz w:val="24"/>
          <w:szCs w:val="24"/>
        </w:rPr>
        <w:br/>
        <w:br/>
        <w:t xml:space="preserve">Előfeldolgozás után (mozgás korrekció, térbeli és időbeli szűrés, non-lineáris regisztráció) az</w:t>
      </w:r>
      <w:r>
        <w:rPr>
          <w:color w:val="000000"/>
          <w:sz w:val="24"/>
          <w:szCs w:val="24"/>
        </w:rPr>
        <w:br/>
        <w:t xml:space="preserve">fMRI adatokat tensor független komponens analízissel (TICA) bontottuk 30 komponensre. A</w:t>
      </w:r>
      <w:r>
        <w:rPr>
          <w:color w:val="000000"/>
          <w:sz w:val="24"/>
          <w:szCs w:val="24"/>
        </w:rPr>
        <w:br/>
        <w:t xml:space="preserve">TICA egy tri-linearis faktorizációval statisztikailag független tér, idő és alany komponensekre</w:t>
      </w:r>
      <w:r>
        <w:rPr>
          <w:color w:val="000000"/>
          <w:sz w:val="24"/>
          <w:szCs w:val="24"/>
        </w:rPr>
        <w:br/>
        <w:t xml:space="preserve">bontja az adatot. Az egyes komponensek (hálózatok) alanyonkénti expresszióját a követési-</w:t>
      </w:r>
      <w:r>
        <w:rPr>
          <w:color w:val="000000"/>
          <w:sz w:val="24"/>
          <w:szCs w:val="24"/>
        </w:rPr>
        <w:br/>
        <w:t xml:space="preserve">hiba csökkenésével korreláltattuk, hogy a tanulást legjobban meghatározó hálózatot</w:t>
      </w:r>
      <w:r>
        <w:rPr>
          <w:color w:val="000000"/>
          <w:sz w:val="24"/>
          <w:szCs w:val="24"/>
        </w:rPr>
        <w:br/>
        <w:t xml:space="preserve">megtaláljuk.</w:t>
      </w:r>
      <w:r>
        <w:rPr>
          <w:color w:val="000000"/>
          <w:sz w:val="24"/>
          <w:szCs w:val="24"/>
        </w:rPr>
        <w:br/>
        <w:br/>
        <w:t xml:space="preserve">Eredmények: A 30 komponens között azonosítható volt primer motoros kérget, a</w:t>
      </w:r>
      <w:r>
        <w:rPr>
          <w:color w:val="000000"/>
          <w:sz w:val="24"/>
          <w:szCs w:val="24"/>
        </w:rPr>
        <w:br/>
        <w:t xml:space="preserve">premotoros és supplementer motoros területeket, valamint a primer és secunder vizuális</w:t>
      </w:r>
      <w:r>
        <w:rPr>
          <w:color w:val="000000"/>
          <w:sz w:val="24"/>
          <w:szCs w:val="24"/>
        </w:rPr>
        <w:br/>
        <w:t xml:space="preserve">területeket tartalmazó vizuo-motoros hálózat. Ennek az aktivitás a mindkét kondícióban</w:t>
      </w:r>
      <w:r>
        <w:rPr>
          <w:color w:val="000000"/>
          <w:sz w:val="24"/>
          <w:szCs w:val="24"/>
        </w:rPr>
        <w:br/>
        <w:t xml:space="preserve">fokozatosan csökkent a tanulás során. A könnyebb feladatban elért pontszám összefüggést</w:t>
      </w:r>
      <w:r>
        <w:rPr>
          <w:color w:val="000000"/>
          <w:sz w:val="24"/>
          <w:szCs w:val="24"/>
        </w:rPr>
        <w:br/>
        <w:t xml:space="preserve">mutatott a jobb oldali frontoparietális figyelmi hálózat aktivitásával.</w:t>
      </w:r>
      <w:r>
        <w:rPr>
          <w:color w:val="000000"/>
          <w:sz w:val="24"/>
          <w:szCs w:val="24"/>
        </w:rPr>
        <w:br/>
        <w:br/>
        <w:t xml:space="preserve">Következtetés: Eredményeink alapján a tanulás hatékonyságát elsősorban nem a vizuo-</w:t>
      </w:r>
      <w:r>
        <w:rPr>
          <w:color w:val="000000"/>
          <w:sz w:val="24"/>
          <w:szCs w:val="24"/>
        </w:rPr>
        <w:br/>
        <w:t xml:space="preserve">motoros hálózatban lévő agyterületek aktivitása határozza meg, hanem a figyelmi hálózat</w:t>
      </w:r>
      <w:r>
        <w:rPr>
          <w:color w:val="000000"/>
          <w:sz w:val="24"/>
          <w:szCs w:val="24"/>
        </w:rPr>
        <w:br/>
        <w:t xml:space="preserve">működése.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23575">
    <w:multiLevelType w:val="hybridMultilevel"/>
    <w:lvl w:ilvl="0" w:tplc="52239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23575">
    <w:abstractNumId w:val="281235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9278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