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SIKETH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nora.siketh16@gmail.com</w:t>
            </w:r>
            <w:r w:rsidRPr="001067CD">
              <w:rPr>
                <w:i/>
              </w:rPr>
              <w:br/>
            </w:r>
            <w:r w:rsidR="00A96AEC">
              <w:t>álatlános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Zombori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Hegedűs Fanni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szakorvosjelölt,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Prognosztikus jellemzők reprodukálhatósági vizsgálata tüdő laphámcarcinoma eseteiben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prognózis; reprodukálhatóság; tüdő; laphámrák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tüdő laphámcarcinoma esetében jelenleg is kutatott prognosztikus markerek a tumor</w:t>
      </w:r>
      <w:r>
        <w:rPr>
          <w:color w:val="000000"/>
          <w:sz w:val="24"/>
          <w:szCs w:val="24"/>
        </w:rPr>
        <w:br/>
        <w:t xml:space="preserve">budding (TB), a sejtmagi átmérő (ND), a magányos tumorsejt invázió (SCI), illetve a légúti terjedés</w:t>
      </w:r>
      <w:r>
        <w:rPr>
          <w:color w:val="000000"/>
          <w:sz w:val="24"/>
          <w:szCs w:val="24"/>
        </w:rPr>
        <w:br/>
        <w:t xml:space="preserve">(STAS).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Vizsgálatunk célja, a TB, az ND, az SCI és a STAS reprodukálhatóságának vizsgálata</w:t>
      </w:r>
      <w:r>
        <w:rPr>
          <w:color w:val="000000"/>
          <w:sz w:val="24"/>
          <w:szCs w:val="24"/>
        </w:rPr>
        <w:br/>
        <w:t xml:space="preserve">hematoxilin-eozin festett metszetek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módszerek: Vizsgálatunkba 2011 és 2023 között, az SZTE Sebészeti Klinikán műtött, a</w:t>
      </w:r>
      <w:r>
        <w:rPr>
          <w:color w:val="000000"/>
          <w:sz w:val="24"/>
          <w:szCs w:val="24"/>
        </w:rPr>
        <w:br/>
        <w:t xml:space="preserve">Pathologiai Intézetben leletezett, laphámcarcinomával kórismézett eseteket vontunk be. Az eseteket</w:t>
      </w:r>
      <w:r>
        <w:rPr>
          <w:color w:val="000000"/>
          <w:sz w:val="24"/>
          <w:szCs w:val="24"/>
        </w:rPr>
        <w:br/>
        <w:t xml:space="preserve">véletlenszerűen választottuk ki. Kizárási kritérium az értékelhetetlen, kifakult metszet volt. A TB, az</w:t>
      </w:r>
      <w:r>
        <w:rPr>
          <w:color w:val="000000"/>
          <w:sz w:val="24"/>
          <w:szCs w:val="24"/>
        </w:rPr>
        <w:br/>
        <w:t xml:space="preserve">SCI és a STAS jelenlétét, illetve az ND mértékét esetenként egy reprezentatív metszeten vizsgálta</w:t>
      </w:r>
      <w:r>
        <w:rPr>
          <w:color w:val="000000"/>
          <w:sz w:val="24"/>
          <w:szCs w:val="24"/>
        </w:rPr>
        <w:br/>
        <w:t xml:space="preserve">három értékelő. Eredményeinket intraclass korrelációval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Vizsgálatunkban 119 eset szerepelt, melyek közül 76 férfi, 43 nő volt. A medián életkor</w:t>
      </w:r>
      <w:r>
        <w:rPr>
          <w:color w:val="000000"/>
          <w:sz w:val="24"/>
          <w:szCs w:val="24"/>
        </w:rPr>
        <w:br/>
        <w:t xml:space="preserve">66,2 év volt. Összesen 97 lobectomia és 22 sublobectomia történt. Hetven esetben jobb, 49 esetben</w:t>
      </w:r>
      <w:r>
        <w:rPr>
          <w:color w:val="000000"/>
          <w:sz w:val="24"/>
          <w:szCs w:val="24"/>
        </w:rPr>
        <w:br/>
        <w:t xml:space="preserve">bal oldali reszekció történt. Hatvanhárom elszarusodó, 51 el nem szarusodó, 4 basaloid, 1</w:t>
      </w:r>
      <w:r>
        <w:rPr>
          <w:color w:val="000000"/>
          <w:sz w:val="24"/>
          <w:szCs w:val="24"/>
        </w:rPr>
        <w:br/>
        <w:t xml:space="preserve">lymphoepithelialis carcinoma elemzése történt. A STAS (ICC: 0,92 95%CI: 0,88-0,95) kiváló, a TB (ICC:</w:t>
      </w:r>
      <w:r>
        <w:rPr>
          <w:color w:val="000000"/>
          <w:sz w:val="24"/>
          <w:szCs w:val="24"/>
        </w:rPr>
        <w:br/>
        <w:t xml:space="preserve">0,87 95%CI: 0,80-0,92) és az SCI (ICC: 0,76 95%CI: 0,62-0,85) jó, míg az ND (ICC: 0,69 95%CI: 0,52-</w:t>
      </w:r>
      <w:r>
        <w:rPr>
          <w:color w:val="000000"/>
          <w:sz w:val="24"/>
          <w:szCs w:val="24"/>
        </w:rPr>
        <w:br/>
        <w:t xml:space="preserve">0,80) közepes reprodukálhatóságot mutatott.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 TB, az ND, az SCI és a STAS prognosztikus szerepe egyre fontosabb a tüdő</w:t>
      </w:r>
      <w:r>
        <w:rPr>
          <w:color w:val="000000"/>
          <w:sz w:val="24"/>
          <w:szCs w:val="24"/>
        </w:rPr>
        <w:br/>
        <w:t xml:space="preserve">laphámcarcinomák esetén. Sőt egyes jellemzőket már grádusbeosztás ajánlások is figyelembe veszik.</w:t>
      </w:r>
      <w:r>
        <w:rPr>
          <w:color w:val="000000"/>
          <w:sz w:val="24"/>
          <w:szCs w:val="24"/>
        </w:rPr>
        <w:br/>
        <w:t xml:space="preserve">Eredményeink szerint a STAS kiváló, a TB és az SCI jól reprodukálható. Az ND megállapításánál az</w:t>
      </w:r>
      <w:r>
        <w:rPr>
          <w:color w:val="000000"/>
          <w:sz w:val="24"/>
          <w:szCs w:val="24"/>
        </w:rPr>
        <w:br/>
        <w:t xml:space="preserve">értékelők képzése csökkentheti a diszkrepanciákat.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42558">
    <w:multiLevelType w:val="hybridMultilevel"/>
    <w:lvl w:ilvl="0" w:tplc="35126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42558">
    <w:abstractNumId w:val="896425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548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