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jakabtamas10@gmail.com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Krajnyik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műszaki oktató,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Önzárási tényező vizsgálata növelt belső súrlódású differenciálművek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differenciálmű; jármű;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közúti járművekben az egy nyomon haladó járműveket leszámítva szinte kivétel nélkül</w:t>
      </w:r>
      <w:r>
        <w:rPr>
          <w:color w:val="000000"/>
          <w:sz w:val="24"/>
          <w:szCs w:val="24"/>
        </w:rPr>
        <w:br/>
        <w:t xml:space="preserve">megtalálható a differenciálmű, mint szerkezeti egység. Ahogy ismert, a kerekek eltérő</w:t>
      </w:r>
      <w:r>
        <w:rPr>
          <w:color w:val="000000"/>
          <w:sz w:val="24"/>
          <w:szCs w:val="24"/>
        </w:rPr>
        <w:br/>
        <w:t xml:space="preserve">fordulatszámmal történő hajtása nélkülözhetetlen a jármű ívmenetben történő haladása során.</w:t>
      </w:r>
      <w:r>
        <w:rPr>
          <w:color w:val="000000"/>
          <w:sz w:val="24"/>
          <w:szCs w:val="24"/>
        </w:rPr>
        <w:br/>
        <w:t xml:space="preserve">Differenciálmű nélkül a jármű kanyarodása során az ívbelső hajtott kerék megcsúszna, vagy jó</w:t>
      </w:r>
      <w:r>
        <w:rPr>
          <w:color w:val="000000"/>
          <w:sz w:val="24"/>
          <w:szCs w:val="24"/>
        </w:rPr>
        <w:br/>
        <w:t xml:space="preserve">tapadási feltételek esetén akkora csavaró igénybevétel ébredne a hajtott tengelyen, hogy az</w:t>
      </w:r>
      <w:r>
        <w:rPr>
          <w:color w:val="000000"/>
          <w:sz w:val="24"/>
          <w:szCs w:val="24"/>
        </w:rPr>
        <w:br/>
        <w:t xml:space="preserve">eltörne. A differenciálmű feladata éppen ennek a kiküszöbölése: kanyarodás során a hajtott</w:t>
      </w:r>
      <w:r>
        <w:rPr>
          <w:color w:val="000000"/>
          <w:sz w:val="24"/>
          <w:szCs w:val="24"/>
        </w:rPr>
        <w:br/>
        <w:t xml:space="preserve">kerekek eltérő fordulatszámának létrehozása.</w:t>
      </w:r>
      <w:r>
        <w:rPr>
          <w:color w:val="000000"/>
          <w:sz w:val="24"/>
          <w:szCs w:val="24"/>
        </w:rPr>
        <w:br/>
        <w:t xml:space="preserve">Ezeket az igényeket a legprimitívebb, belső súrlódás nélküli differenciálművek kellő mértékben</w:t>
      </w:r>
      <w:r>
        <w:rPr>
          <w:color w:val="000000"/>
          <w:sz w:val="24"/>
          <w:szCs w:val="24"/>
        </w:rPr>
        <w:br/>
        <w:t xml:space="preserve">kielégítik, hiszen ívmenetben a hajtott kerekek közti fordulatszámkülönbség létrejön. Azonban</w:t>
      </w:r>
      <w:r>
        <w:rPr>
          <w:color w:val="000000"/>
          <w:sz w:val="24"/>
          <w:szCs w:val="24"/>
        </w:rPr>
        <w:br/>
        <w:t xml:space="preserve">léteznek olyan üzemállapotok, mikor a belső súrlódás nélküli differenciálmű – mivel önzárást</w:t>
      </w:r>
      <w:r>
        <w:rPr>
          <w:color w:val="000000"/>
          <w:sz w:val="24"/>
          <w:szCs w:val="24"/>
        </w:rPr>
        <w:br/>
        <w:t xml:space="preserve">nem, vagy csak elhanyagolható mértékben tud megvalósítani – negatív hatással van a jármű</w:t>
      </w:r>
      <w:r>
        <w:rPr>
          <w:color w:val="000000"/>
          <w:sz w:val="24"/>
          <w:szCs w:val="24"/>
        </w:rPr>
        <w:br/>
        <w:t xml:space="preserve">viselkedésére.</w:t>
      </w:r>
      <w:r>
        <w:rPr>
          <w:color w:val="000000"/>
          <w:sz w:val="24"/>
          <w:szCs w:val="24"/>
        </w:rPr>
        <w:br/>
        <w:t xml:space="preserve">Az egyik ilyen üzemállapot, mikor az egyik hajtott kerék csúszós, jeges útfelületen áll, a másik</w:t>
      </w:r>
      <w:r>
        <w:rPr>
          <w:color w:val="000000"/>
          <w:sz w:val="24"/>
          <w:szCs w:val="24"/>
        </w:rPr>
        <w:br/>
        <w:t xml:space="preserve">vele közös tengelyen lévő kerék pedig jó tapadási tényezőjű aszfalton. Ha ilyen körülmények</w:t>
      </w:r>
      <w:r>
        <w:rPr>
          <w:color w:val="000000"/>
          <w:sz w:val="24"/>
          <w:szCs w:val="24"/>
        </w:rPr>
        <w:br/>
        <w:t xml:space="preserve">között szeretnénk elindulni a járművel, amiben belső súrlódás nélküli differenciálmű található,</w:t>
      </w:r>
      <w:r>
        <w:rPr>
          <w:color w:val="000000"/>
          <w:sz w:val="24"/>
          <w:szCs w:val="24"/>
        </w:rPr>
        <w:br/>
        <w:t xml:space="preserve">valószínűleg egy helyben fogunk maradni, hiszen csak a rosszabb tapadási tényezővel</w:t>
      </w:r>
      <w:r>
        <w:rPr>
          <w:color w:val="000000"/>
          <w:sz w:val="24"/>
          <w:szCs w:val="24"/>
        </w:rPr>
        <w:br/>
        <w:t xml:space="preserve">rendelkező kerékre fog nyomaték jutni.</w:t>
      </w:r>
      <w:r>
        <w:rPr>
          <w:color w:val="000000"/>
          <w:sz w:val="24"/>
          <w:szCs w:val="24"/>
        </w:rPr>
        <w:br/>
        <w:t xml:space="preserve">A növelt belső súrlódású differenciálmű többek között ebben az üzemállapotban lehetővé teszi</w:t>
      </w:r>
      <w:r>
        <w:rPr>
          <w:color w:val="000000"/>
          <w:sz w:val="24"/>
          <w:szCs w:val="24"/>
        </w:rPr>
        <w:br/>
        <w:t xml:space="preserve">a jármű elindulását, hiszen a hajtott kerekek között részleges zárást visz véghez, így a jó</w:t>
      </w:r>
      <w:r>
        <w:rPr>
          <w:color w:val="000000"/>
          <w:sz w:val="24"/>
          <w:szCs w:val="24"/>
        </w:rPr>
        <w:br/>
        <w:t xml:space="preserve">tapadási tényezőjű kerékre is jut kellő forgatónyomaték az elinduláshoz. Az önzárás mértéke</w:t>
      </w:r>
      <w:r>
        <w:rPr>
          <w:color w:val="000000"/>
          <w:sz w:val="24"/>
          <w:szCs w:val="24"/>
        </w:rPr>
        <w:br/>
        <w:t xml:space="preserve">azonban különböző kialakítások esetén széles mértékben változhat, aminek okát érdemes lenne</w:t>
      </w:r>
      <w:r>
        <w:rPr>
          <w:color w:val="000000"/>
          <w:sz w:val="24"/>
          <w:szCs w:val="24"/>
        </w:rPr>
        <w:br/>
        <w:t xml:space="preserve">vizsgálni.</w:t>
      </w:r>
      <w:r>
        <w:rPr>
          <w:color w:val="000000"/>
          <w:sz w:val="24"/>
          <w:szCs w:val="24"/>
        </w:rPr>
        <w:br/>
        <w:t xml:space="preserve">Dolgozatom célja, hogy a többtárcsás növelt belső súrlódású differenciálmű működését, illetve</w:t>
      </w:r>
      <w:r>
        <w:rPr>
          <w:color w:val="000000"/>
          <w:sz w:val="24"/>
          <w:szCs w:val="24"/>
        </w:rPr>
        <w:br/>
        <w:t xml:space="preserve">üzem közben fellépő viszonyait kellő mértékben feldolgozva az egyes elemeinek jelentőségét</w:t>
      </w:r>
      <w:r>
        <w:rPr>
          <w:color w:val="000000"/>
          <w:sz w:val="24"/>
          <w:szCs w:val="24"/>
        </w:rPr>
        <w:br/>
        <w:t xml:space="preserve">felmérjem, majd meghatározzam egy konkrét konstrukció fejlesztési lehetőségeit, annak</w:t>
      </w:r>
      <w:r>
        <w:rPr>
          <w:color w:val="000000"/>
          <w:sz w:val="24"/>
          <w:szCs w:val="24"/>
        </w:rPr>
        <w:br/>
        <w:t xml:space="preserve">előnyeivel és hátrányaival.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30168">
    <w:multiLevelType w:val="hybridMultilevel"/>
    <w:lvl w:ilvl="0" w:tplc="50609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30168">
    <w:abstractNumId w:val="678301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669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