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VARGA ÁRON GÁBOR</w:t>
            </w:r>
          </w:p>
          <w:p w:rsidR="00C275A3" w:rsidRDefault="00CA6B74" w:rsidP="00C275A3">
            <w:pPr>
              <w:pStyle w:val="Hallgatokepzes"/>
            </w:pPr>
            <w:r w:rsidRPr="001067CD">
              <w:rPr>
                <w:i/>
              </w:rPr>
              <w:t>vargaaron2000@gmail.com</w:t>
            </w:r>
            <w:r w:rsidRPr="001067CD">
              <w:rPr>
                <w:i/>
              </w:rPr>
              <w:br/>
            </w:r>
            <w:r w:rsidR="00A96AEC">
              <w:t>Kommunikáció és médiatudomány</w:t>
            </w:r>
            <w:r w:rsidR="00A96AEC">
              <w:br/>
            </w:r>
            <w:r w:rsidR="00E77B23">
              <w:t>BA, 4. félév</w:t>
            </w:r>
          </w:p>
          <w:p w:rsidR="00C265CE" w:rsidRPr="009E5FF1" w:rsidRDefault="00E77B23" w:rsidP="00BA6BAF">
            <w:pPr>
              <w:pStyle w:val="Hallgatointezmeny-kar"/>
              <w:rPr>
                <w:b/>
                <w:caps/>
              </w:rPr>
            </w:pPr>
            <w:r>
              <w:t>Budapesti Gazdasági Egyetem</w:t>
            </w:r>
            <w:r w:rsidR="00C275A3">
              <w:br/>
            </w:r>
            <w:r w:rsidR="00DB4822">
              <w:t>Külkereskedelmi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Krasztev Péter</w:t>
            </w:r>
          </w:p>
          <w:p w:rsidR="00DB4822" w:rsidRDefault="00DB4822" w:rsidP="00BA6BAF">
            <w:pPr>
              <w:pStyle w:val="Konzulensektitulus"/>
            </w:pPr>
            <w:r w:rsidRPr="00DB4822">
              <w:t>főiskolai docens, BGE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communication of social movements opposing technological advancements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kommunikáció; társadalmi; mozgalom; technológia; fejlődés</w:t>
      </w:r>
      <w:r>
        <w:t xml:space="preserve"/>
      </w:r>
    </w:p>
    <w:p>
      <w:pPr>
        <w:widowControl w:val="on"/>
        <w:pBdr/>
        <w:spacing w:before="240" w:after="240" w:line="240" w:lineRule="auto"/>
        <w:ind w:left="0" w:right="0"/>
        <w:jc w:val="left"/>
      </w:pPr>
      <w:r>
        <w:rPr>
          <w:color w:val="000000"/>
          <w:sz w:val="24"/>
          <w:szCs w:val="24"/>
        </w:rPr>
        <w:t xml:space="preserve">My paper aims to find similarities and correlations between the communication of social movements opposing technological growth. To find logical connections and draw a satisfactory conclusion I have made it my task to answer the following research questions and hypotheses; Can we see a periodical repetition of social movements in relation to the introduction of new technological inventions, moreover, are these social movements able to combat technological growth in a progressive manner? There's a prevailing suspicion, which serves as my third research questions, that significant technological leaps can elicit feelings of fear, anxiety, and resistance among the general public.</w:t>
      </w:r>
      <w:r>
        <w:rPr>
          <w:color w:val="000000"/>
          <w:sz w:val="24"/>
          <w:szCs w:val="24"/>
        </w:rPr>
        <w:br/>
        <w:t xml:space="preserve">Methodologically, this study relies on a combination of secondary research, desk research, and comprehensive content analysis. In lieu of a chronological approach to scrutinizing social movements, the research strategy is oriented towards the discernment of logical interrelationships among anti-technology social movements. The primary objective is to identify commonalities and correlations across historical instances, thereby substantiating the recurring nature of these phenomena. The examination entails a critical analysis of scholarly texts, research papers, and reputable literature sources related to social movements and communication, including works by notable figures such as Kropotkin, Kaczynski, and Tilly. Upon thorough examination of a vast variety of literature, I will conclude my paper by summarizing my thoughts in the conclusion segment.</w:t>
      </w:r>
      <w:r>
        <w:rPr>
          <w:color w:val="000000"/>
          <w:sz w:val="24"/>
          <w:szCs w:val="24"/>
        </w:rPr>
        <w:br/>
        <w:t xml:space="preserve">As for the result I have been able to find commonalities and correlations between said social movements and their communication, however, the context of the technological invention and its introduction plays a crucial part on the public’s reaction. Nonetheless, a cyclical pattern seems to exist in the context of social movements. While technology continues its brisk growth, the concerned voices get louder, however, their forms of resistance do not seem to advance, meaning that the communication of dissatisfaction did not progress as rapidly as technology did.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356733">
    <w:multiLevelType w:val="hybridMultilevel"/>
    <w:lvl w:ilvl="0" w:tplc="491272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356733">
    <w:abstractNumId w:val="213567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39621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