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BANAI SZILÁRD BÁLINT</w:t>
            </w:r>
          </w:p>
          <w:p w:rsidR="00C275A3" w:rsidRDefault="00CA6B74" w:rsidP="00C275A3">
            <w:pPr>
              <w:pStyle w:val="Hallgatokepzes"/>
            </w:pPr>
            <w:r w:rsidRPr="001067CD">
              <w:rPr>
                <w:i/>
              </w:rPr>
              <w:t>szilardbanaijr@gmail.com</w:t>
            </w:r>
            <w:r w:rsidRPr="001067CD">
              <w:rPr>
                <w:i/>
              </w:rPr>
              <w:br/>
            </w:r>
            <w:r w:rsidR="00A96AEC">
              <w:t>Pénzügy</w:t>
            </w:r>
            <w:r w:rsidR="00A96AEC">
              <w:br/>
            </w:r>
            <w:r w:rsidR="00E77B23">
              <w:t>MA, 2.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Sági Judit</w:t>
            </w:r>
          </w:p>
          <w:p w:rsidR="00DB4822" w:rsidRDefault="00DB4822" w:rsidP="00BA6BAF">
            <w:pPr>
              <w:pStyle w:val="Konzulensektitulus"/>
            </w:pPr>
            <w:r w:rsidRPr="00DB4822">
              <w:t>egyetemi docens, BGE PSZK</w:t>
            </w:r>
          </w:p>
        </w:tc>
      </w:tr>
      <w:tr w:rsidR="00DB4822" w:rsidTr="00DB4822">
        <w:tc>
          <w:tcPr>
            <w:tcW w:w="9854" w:type="dxa"/>
          </w:tcPr>
          <w:p w:rsidR="00DB4822" w:rsidRPr="00DB4822" w:rsidRDefault="00DB4822" w:rsidP="00BA6BAF">
            <w:pPr>
              <w:pStyle w:val="Konzulenseknev"/>
            </w:pPr>
            <w:r w:rsidRPr="00DB4822">
              <w:t>Dr. Hegedűs Szilárd</w:t>
            </w:r>
          </w:p>
          <w:p w:rsidR="00DB4822" w:rsidRDefault="00DB4822" w:rsidP="00BA6BAF">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Vállalatok hagyományos és újszerű finanszírozási módszerei európai viszonylatban a KKV-k szintjén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KKV; vállalatfinanszírozás; tőkefinanszírozás; finanszírozás; tőkebevonás</w:t>
      </w:r>
      <w:r>
        <w:t xml:space="preserve"/>
      </w:r>
    </w:p>
    <w:p>
      <w:pPr>
        <w:widowControl w:val="on"/>
        <w:pBdr/>
        <w:spacing w:before="240" w:after="240" w:line="240" w:lineRule="auto"/>
        <w:ind w:left="0" w:right="0"/>
        <w:jc w:val="left"/>
      </w:pPr>
      <w:r>
        <w:rPr>
          <w:color w:val="000000"/>
          <w:sz w:val="24"/>
          <w:szCs w:val="24"/>
        </w:rPr>
        <w:t xml:space="preserve">Az elmúlt egy évtizedben a fintech cégek és alternatív tőkebevonási módszerek elterjedésével rengeteg új lehetőség tárult a kis- és középvállalati szektor elé. Így kutatásom során feltártam a magyar kis- és középvállalatok helyzetét vállalati finanszírozási szempontból európai viszonylatban.</w:t>
      </w:r>
    </w:p>
    <w:p>
      <w:pPr>
        <w:widowControl w:val="on"/>
        <w:pBdr/>
        <w:spacing w:before="240" w:after="240" w:line="240" w:lineRule="auto"/>
        <w:ind w:left="0" w:right="0"/>
        <w:jc w:val="left"/>
      </w:pPr>
      <w:r>
        <w:rPr>
          <w:color w:val="000000"/>
          <w:sz w:val="24"/>
          <w:szCs w:val="24"/>
        </w:rPr>
        <w:t xml:space="preserve">Kutatásom folyamán számos szakmai kérdés fogalmazódott meg bennem. Ezekből kiemelném a fontosabb kutatási kérdéseimet:</w:t>
      </w:r>
    </w:p>
    <w:p>
      <w:pPr>
        <w:pStyle w:val="ListParagraphPHPDOCX"/>
        <w:numPr>
          <w:ilvl w:val="0"/>
          <w:numId w:val="72494485"/>
        </w:numPr>
        <w:spacing w:before="0" w:after="0" w:line="240" w:lineRule="auto"/>
        <w:contextualSpacing/>
        <w:jc w:val="left"/>
        <w:rPr>
          <w:sz w:val="24"/>
          <w:szCs w:val="24"/>
        </w:rPr>
      </w:pPr>
      <w:r>
        <w:rPr>
          <w:color w:val="000000"/>
          <w:sz w:val="24"/>
          <w:szCs w:val="24"/>
        </w:rPr>
        <w:t xml:space="preserve">Milyen változásokon mentek keresztül a kis- és középvállalatok az elmúlt években?</w:t>
      </w:r>
    </w:p>
    <w:p>
      <w:pPr>
        <w:pStyle w:val="ListParagraphPHPDOCX"/>
        <w:numPr>
          <w:ilvl w:val="0"/>
          <w:numId w:val="72494485"/>
        </w:numPr>
        <w:spacing w:before="0" w:after="0" w:line="240" w:lineRule="auto"/>
        <w:contextualSpacing/>
        <w:jc w:val="left"/>
        <w:rPr>
          <w:sz w:val="24"/>
          <w:szCs w:val="24"/>
        </w:rPr>
      </w:pPr>
      <w:r>
        <w:rPr>
          <w:color w:val="000000"/>
          <w:sz w:val="24"/>
          <w:szCs w:val="24"/>
        </w:rPr>
        <w:t xml:space="preserve">Mi lehet az oka annak, hogy hazánk – a lehetőségek ellenére – kevésbé hatékonyan alkalmazza az alternatív finanszírozási forrásokat?</w:t>
      </w:r>
    </w:p>
    <w:p>
      <w:pPr>
        <w:pStyle w:val="ListParagraphPHPDOCX"/>
        <w:numPr>
          <w:ilvl w:val="0"/>
          <w:numId w:val="72494485"/>
        </w:numPr>
        <w:spacing w:before="0" w:after="0" w:line="240" w:lineRule="auto"/>
        <w:contextualSpacing/>
        <w:jc w:val="left"/>
        <w:rPr>
          <w:sz w:val="24"/>
          <w:szCs w:val="24"/>
        </w:rPr>
      </w:pPr>
      <w:r>
        <w:rPr>
          <w:color w:val="000000"/>
          <w:sz w:val="24"/>
          <w:szCs w:val="24"/>
        </w:rPr>
        <w:t xml:space="preserve">Milyen eltérések, illetve hasonlóságok vannak a magyar és a nemzetközi gyakorlatban?</w:t>
      </w:r>
    </w:p>
    <w:p>
      <w:pPr>
        <w:widowControl w:val="on"/>
        <w:pBdr/>
        <w:spacing w:before="240" w:after="240" w:line="240" w:lineRule="auto"/>
        <w:ind w:left="0" w:right="0"/>
        <w:jc w:val="left"/>
      </w:pPr>
      <w:r>
        <w:rPr>
          <w:color w:val="000000"/>
          <w:sz w:val="24"/>
          <w:szCs w:val="24"/>
        </w:rPr>
        <w:t xml:space="preserve">Előző kutatásaim és a szakirodalmi áttekintés rámutattak arra, hogy az elmúlt bő féléves trendek ellenére Magyarországon rendkívül alacsony volumenben alkalmaz újszerű, innovatív finanszírozási módszereket, amit jelenlegi kutatásomban is vizsgáltam majd igazoltam. Adatbázisokat elemezve, analízisek segítségével továbbá vizsgáltam az országok teljesítménymutatóit, azok befolyásoló tényezőit és kitértem a finanszírozási forrásokhoz való kapcsolatoknak elemzésére is.</w:t>
      </w:r>
    </w:p>
    <w:p>
      <w:pPr>
        <w:widowControl w:val="on"/>
        <w:pBdr/>
        <w:spacing w:before="240" w:after="240" w:line="240" w:lineRule="auto"/>
        <w:ind w:left="0" w:right="0"/>
        <w:jc w:val="left"/>
      </w:pPr>
      <w:r>
        <w:rPr>
          <w:color w:val="000000"/>
          <w:sz w:val="24"/>
          <w:szCs w:val="24"/>
        </w:rPr>
        <w:t xml:space="preserve">Megállapítottam, hogy a hazai kis- és középvállalatok teljesítménymutatói jelentősen kedvezőtlenebbek, mint a nyugat-európai országoké, kitértem az alacsony teljesítménymutatók okaira és fényt derítettem a pénzügyi teljesítménymutatók és a vállalatok forrásbevonása közti kapcsolatra. Ezen kívül kvantitatív módszertannal is bizonyítottam, hogy a magyar kockázati tőkepiac jelentősen elmaradott a nyugat-európai országokétól.</w:t>
      </w:r>
    </w:p>
    <w:p>
      <w:pPr>
        <w:widowControl w:val="on"/>
        <w:pBdr/>
        <w:spacing w:before="240" w:after="240" w:line="240" w:lineRule="auto"/>
        <w:ind w:left="0" w:right="0"/>
        <w:jc w:val="left"/>
      </w:pPr>
      <w:r>
        <w:rPr>
          <w:color w:val="000000"/>
          <w:sz w:val="24"/>
          <w:szCs w:val="24"/>
        </w:rPr>
        <w:t xml:space="preserve">Jövőbeni kutatási terveim között szerepel, hogy egy nemzetközi kérdőíves felmérést eszközöljek, amivel egy teljeskörű összehasonlításra legyen lehetőségem a különböző finanszírozási módszerek alkalmazása tekintetében.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94485">
    <w:multiLevelType w:val="hybridMultilevel"/>
    <w:lvl w:ilvl="0" w:tplc="76838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94485">
    <w:abstractNumId w:val="72494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8457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