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LAJOS ÁRON BARACSI</w:t>
            </w:r>
          </w:p>
          <w:p w:rsidR="00C275A3" w:rsidRDefault="00CA6B74" w:rsidP="00C275A3">
            <w:pPr>
              <w:pStyle w:val="Hallgatokepzes"/>
            </w:pPr>
            <w:r w:rsidRPr="001067CD">
              <w:rPr>
                <w:i/>
              </w:rPr>
              <w:t>baracsi.aron@gmail.com</w:t>
            </w:r>
            <w:r w:rsidRPr="001067CD">
              <w:rPr>
                <w:i/>
              </w:rPr>
              <w:br/>
            </w:r>
            <w:r w:rsidR="00A96AEC">
              <w:t>Finance and accounting</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Szilárd Hegedűs phd</w:t>
            </w:r>
          </w:p>
          <w:p w:rsidR="00DB4822" w:rsidRDefault="00DB4822" w:rsidP="00BA6BAF">
            <w:pPr>
              <w:pStyle w:val="Konzulensektitulus"/>
            </w:pPr>
            <w:r w:rsidRPr="00DB4822">
              <w:t>associate professor, BGE PSZK</w:t>
            </w:r>
          </w:p>
        </w:tc>
      </w:tr>
      <w:tr w:rsidR="00DB4822" w:rsidTr="00DB4822">
        <w:tc>
          <w:tcPr>
            <w:tcW w:w="9854" w:type="dxa"/>
          </w:tcPr>
          <w:p w:rsidR="00DB4822" w:rsidRPr="00DB4822" w:rsidRDefault="00DB4822" w:rsidP="00BA6BAF">
            <w:pPr>
              <w:pStyle w:val="Konzulenseknev"/>
            </w:pPr>
            <w:r w:rsidRPr="00DB4822">
              <w:t>Ervin Denich phd</w:t>
            </w:r>
          </w:p>
          <w:p w:rsidR="00DB4822" w:rsidRDefault="00DB4822" w:rsidP="00BA6BAF">
            <w:pPr>
              <w:pStyle w:val="Konzulensektitulus"/>
            </w:pPr>
            <w:r w:rsidRPr="00DB4822">
              <w:t>senior lecturer,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empirical investigation of the impact of accounting frauds on corporate value changes and the relationship to the market price changes using the example of us publicly traded companies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accounting fraud, accounting quality, financial reporting quality, EVA, publicly traded companies</w:t>
      </w:r>
      <w:r>
        <w:t xml:space="preserve"/>
      </w:r>
    </w:p>
    <w:p>
      <w:pPr>
        <w:widowControl w:val="on"/>
        <w:pBdr/>
        <w:spacing w:before="240" w:after="240" w:line="240" w:lineRule="auto"/>
        <w:ind w:left="0" w:right="0"/>
        <w:jc w:val="left"/>
      </w:pPr>
      <w:r>
        <w:rPr>
          <w:color w:val="000000"/>
          <w:sz w:val="24"/>
          <w:szCs w:val="24"/>
        </w:rPr>
        <w:t xml:space="preserve">The financial and accounting scandals of the past decades have undoubtedly had an impact on public life, and the issue remains a prominent concern in social and economic matters. A significant area of domestic research has been the examination of the influence of accounting practices and the concomitant changes in accounting quality and ethical issues, as well as the effects of these factors. However, there has been a paucity of domestic publications investigating the effects of accounting fraud and its relationship with financial variables at the international level. This paper examines the relationship between accounting quality during the years of accounting fraud disclosure and changes in the corporate economic value added index, changes in the price and volume of corporate shares, and the average annual dividend paid. This is achieved using a 19-item sample and control sample over the period 2016 to 2022. The sample comprises companies with a documented history of accounting fraud, listed on the NASDAQ or NYSE stock exchanges, operating in the USA, and headquartered in that country. The study of accounting quality employed the modified Jones model of Dechow et al., while the variables of the EVA indicator were calculated using the formula of the consulting firm Stern Stewart. A further objective of the research is to identify significant differences between the sample and control samples over the period under consideration.</w:t>
      </w:r>
      <w:r>
        <w:rPr>
          <w:color w:val="000000"/>
          <w:sz w:val="24"/>
          <w:szCs w:val="24"/>
        </w:rPr>
        <w:br/>
        <w:t xml:space="preserve">In terms of its research methodology, the thesis has metric measurement scaling variables that define the procedures for empirical investigations. The statistical software SPSS was used to determine the variance and relationship of the variables, in which multivariate linear regression, correlation analysis, one-way analysis of variance were run. Tests of normality, outliers and homogeneity of variance were also carried out to check the statistical tests.</w:t>
      </w:r>
      <w:r>
        <w:rPr>
          <w:color w:val="000000"/>
          <w:sz w:val="24"/>
          <w:szCs w:val="24"/>
        </w:rPr>
        <w:br/>
        <w:t xml:space="preserve">Based on the results of the empirical analyses applied, it can be concluded that the accounting qualities and EVA values of the companies concerned differ for the samples under study, but the results obtained are not significant, so that the existence of an overall and significant difference cannot be claimed. The significant observations of the correlation tests carried out show that accounting quality is positively related to money market indicators, i.e. earnings management as a quality reducing factor has a negative impact on the values of these indicators.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79253">
    <w:multiLevelType w:val="hybridMultilevel"/>
    <w:lvl w:ilvl="0" w:tplc="49052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79253">
    <w:abstractNumId w:val="922792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15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