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FERENCSÁK</w:t>
            </w:r>
          </w:p>
          <w:p w:rsidR="00C275A3" w:rsidRDefault="00CA6B74" w:rsidP="00C275A3">
            <w:pPr>
              <w:pStyle w:val="Hallgatokepzes"/>
            </w:pPr>
            <w:r w:rsidRPr="001067CD">
              <w:rPr>
                <w:i/>
              </w:rPr>
              <w:t>dynamail@gmail.com</w:t>
            </w:r>
            <w:r w:rsidRPr="001067CD">
              <w:rPr>
                <w:i/>
              </w:rPr>
              <w:br/>
            </w:r>
            <w:r w:rsidR="00A96AEC">
              <w:t>Finance</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ZITA BEÁTA PEREDY</w:t>
            </w:r>
          </w:p>
          <w:p w:rsidR="00DB4822" w:rsidRDefault="00CA6B74" w:rsidP="004D7940">
            <w:pPr>
              <w:pStyle w:val="Hallgatokepzes"/>
            </w:pPr>
            <w:r w:rsidRPr="001067CD">
              <w:rPr>
                <w:i/>
              </w:rPr>
              <w:t>zitaperedy95@gmail.com</w:t>
            </w:r>
            <w:bookmarkStart w:id="1" w:name="_GoBack"/>
            <w:bookmarkEnd w:id="1"/>
            <w:r w:rsidRPr="001067CD">
              <w:br/>
            </w:r>
            <w:r w:rsidR="00C275A3">
              <w:t>Finance</w:t>
            </w:r>
            <w:r w:rsidR="00A96AEC">
              <w:br/>
              <w:t>MA, 3. semester</w:t>
            </w:r>
          </w:p>
          <w:p w:rsidR="00DB4822" w:rsidRDefault="00DB4822" w:rsidP="004D7940">
            <w:pPr>
              <w:pStyle w:val="Hallgatointezmeny-kar"/>
            </w:pPr>
            <w:r>
              <w:t>Budapest Business University</w:t>
            </w:r>
          </w:p>
          <w:p w:rsidR="00C265CE" w:rsidRPr="009E5FF1" w:rsidRDefault="00DB4822" w:rsidP="004D7940">
            <w:pPr>
              <w:pStyle w:val="Hallgatointezmeny-kar"/>
              <w:rPr>
                <w:b/>
                <w:caps/>
              </w:rPr>
            </w:pPr>
            <w:r>
              <w:t>College of Finance and Accountancy</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Szilárd Hegedűs </w:t>
            </w:r>
          </w:p>
          <w:p w:rsidR="00DB4822" w:rsidRDefault="00DB4822" w:rsidP="00BA6BAF">
            <w:pPr>
              <w:pStyle w:val="Konzulensektitulus"/>
            </w:pPr>
            <w:r w:rsidRPr="00DB4822">
              <w:t>Department of Finance College associate professor PhD,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binary logistic regression and decision tree models in negative shareholders' funds forecasting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Binary logistic regression; Decision tree models; Negative shareholders' equity; Medium-sized enterprises</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Nowadays the economic situation has become increasingly uncertain (war, covid, energy crisis, supply chain problems), making all business activities riskier. We conducted analyses to determine whether it is possible to predict based on publicly available financial data, if a company will enter a near-bankruptcy state within one or two years considering the current uncertainties.</w:t>
      </w:r>
      <w:r>
        <w:rPr>
          <w:color w:val="000000"/>
          <w:sz w:val="24"/>
          <w:szCs w:val="24"/>
        </w:rPr>
        <w:br/>
        <w:t xml:space="preserve">Our research hypothesis was that specific financial indicators significantly contribute to the development of negative shareholders' equity. To test this hypothesis, we performed various statistical analyses using SPSS 27 software.</w:t>
      </w:r>
      <w:r>
        <w:rPr>
          <w:color w:val="000000"/>
          <w:sz w:val="24"/>
          <w:szCs w:val="24"/>
        </w:rPr>
        <w:br/>
        <w:t xml:space="preserve">In our study, we investigated the occurrence of negative shareholders' equity across different industries and analyzed the underlying economic causal relationships. We developed binary logistic regression and decision tree models to predict negative shareholders' equity and interpreted the results with practical examples.</w:t>
      </w:r>
      <w:r>
        <w:rPr>
          <w:color w:val="000000"/>
          <w:sz w:val="24"/>
          <w:szCs w:val="24"/>
        </w:rPr>
        <w:br/>
        <w:t xml:space="preserve">We used financial data from three financial years (2020, 2021, and 2022), sourced from the Amadeus Orbis database and the Ministry of Justice. Based on our models, we formulated recommendations for improving the operation of companies and analyzing their partners. The most significant outcome of our research is the successful establishment of a fast and easily applicable predictive models. For one-year forecasts, the model requires four financial report indicators, while for two-year forecasts, only three indicators are sufficient.</w:t>
      </w:r>
      <w:r>
        <w:rPr>
          <w:color w:val="000000"/>
          <w:sz w:val="24"/>
          <w:szCs w:val="24"/>
        </w:rPr>
        <w:br/>
        <w:t xml:space="preserve">We recommend our model for Hungarian small and medium-sized enterprises that lack access to credit insurers or corporate analysis firms.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82659">
    <w:multiLevelType w:val="hybridMultilevel"/>
    <w:lvl w:ilvl="0" w:tplc="30378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82659">
    <w:abstractNumId w:val="66182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6234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