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KENESE LÁSZLÓ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balazs.orzo@gmail.com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Sági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BGE PSZK - Pénzügy és Számviteli Kar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 of transmission mechanism on Hungarian ESG stock returns and risks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ESG, Fentartható pénzügyek, Fentartható befektetések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környezeti, társadalmi és irányítási (ESG) értékelés egyre nagyobb figyelmet kapott az elmúlt években.</w:t>
      </w:r>
      <w:r>
        <w:rPr>
          <w:color w:val="000000"/>
          <w:sz w:val="24"/>
          <w:szCs w:val="24"/>
        </w:rPr>
        <w:br/>
        <w:t xml:space="preserve">az évek során, mivel a fenntarthatóság fokozatosan a társadalom központi kérdésévé vált. Az ESG az egyik</w:t>
      </w:r>
      <w:r>
        <w:rPr>
          <w:color w:val="000000"/>
          <w:sz w:val="24"/>
          <w:szCs w:val="24"/>
        </w:rPr>
        <w:br/>
        <w:t xml:space="preserve">„termékek” közé tartozik, amelyeket ezek a mozgalmak hoztak létre, és amelyek az utóbbi időben alakították a befektetési stratégiákat.</w:t>
      </w:r>
      <w:r>
        <w:rPr>
          <w:color w:val="000000"/>
          <w:sz w:val="24"/>
          <w:szCs w:val="24"/>
        </w:rPr>
        <w:br/>
        <w:t xml:space="preserve">években. Így az ESG-tényezők alkalmazásával új értékelési kritériumokat határozhatunk meg a vállalati részvények számára.</w:t>
      </w:r>
      <w:r>
        <w:rPr>
          <w:color w:val="000000"/>
          <w:sz w:val="24"/>
          <w:szCs w:val="24"/>
        </w:rPr>
        <w:br/>
        <w:t xml:space="preserve">Felmerül azonban a kérdés: ha a makrogazdasági tényezők megváltoznak, vajon az ESG részvények iránti kereslet</w:t>
      </w:r>
      <w:r>
        <w:rPr>
          <w:color w:val="000000"/>
          <w:sz w:val="24"/>
          <w:szCs w:val="24"/>
        </w:rPr>
        <w:br/>
        <w:t xml:space="preserve">csökken vagy sem? Ez negatív hatással van a hozamra vagy a kockázatra? E kérdések megválaszolása érdekében</w:t>
      </w:r>
      <w:r>
        <w:rPr>
          <w:color w:val="000000"/>
          <w:sz w:val="24"/>
          <w:szCs w:val="24"/>
        </w:rPr>
        <w:br/>
        <w:t xml:space="preserve">a Capital Asset Pricing Model (CAPM) és a Fama&amp;French háromtényezős modelljét használtam.</w:t>
      </w:r>
      <w:r>
        <w:rPr>
          <w:color w:val="000000"/>
          <w:sz w:val="24"/>
          <w:szCs w:val="24"/>
        </w:rPr>
        <w:br/>
        <w:t xml:space="preserve">amelyet az átlagos hozam és a részvényárfolyamok közötti oksági kapcsolat értékelésére fejlesztettek ki, mint például</w:t>
      </w:r>
      <w:r>
        <w:rPr>
          <w:color w:val="000000"/>
          <w:sz w:val="24"/>
          <w:szCs w:val="24"/>
        </w:rPr>
        <w:br/>
        <w:t xml:space="preserve">Könyv/piaci arány (B/M), standard hozam és méret. Továbbá, a kutatásom alapja egy ESG-portfólióra támaszkodtam, amely olyan magyar vállalatokat tartalmazott, amelyek magas ESG-pontszámmal rendelkeztek vagy környezetbarátabb iparágban tevékenykedtek. Számításaim azt mutatták, hogy az ESG portfólióaz átlagos hozam tekintetében legtöbbször felülmúlta a BUX indexet, és alacsonyabb volatilitást is mutatott. 2018 és 2022 között. Számításaim azt mutatják, hogy a magas ESG-értékkel rendelkező részvények kedvezőbb eredményt érhetnek el hozamot alacsonyabb kockázat és volatilitás mellett, amikor a kamatlábak változására került sor.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60403">
    <w:multiLevelType w:val="hybridMultilevel"/>
    <w:lvl w:ilvl="0" w:tplc="47288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60403">
    <w:abstractNumId w:val="192604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569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