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KENESE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balazs.orzo@gmail.com</w:t>
            </w:r>
            <w:r w:rsidRPr="001067CD">
              <w:rPr>
                <w:i/>
              </w:rPr>
              <w:br/>
            </w:r>
            <w:r w:rsidR="00A96AEC">
              <w:t>Finance and Accounting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Finance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Sági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 BGE PSZK - Faculty of Finance and Accounting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transmission mechanism on Hungarian ESG stock returns and risks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ESG, Green finance, sustainable finance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Environmental, social and governance (ESG) assessment has received increasing attention over</w:t>
      </w:r>
      <w:r>
        <w:rPr>
          <w:color w:val="000000"/>
          <w:sz w:val="24"/>
          <w:szCs w:val="24"/>
        </w:rPr>
        <w:br/>
        <w:t xml:space="preserve">the years as sustainability has gradually become a central issue in society. ESG is one of the</w:t>
      </w:r>
      <w:r>
        <w:rPr>
          <w:color w:val="000000"/>
          <w:sz w:val="24"/>
          <w:szCs w:val="24"/>
        </w:rPr>
        <w:br/>
        <w:t xml:space="preserve">"products" that these movements have created and shaped the investment strategies in recent</w:t>
      </w:r>
      <w:r>
        <w:rPr>
          <w:color w:val="000000"/>
          <w:sz w:val="24"/>
          <w:szCs w:val="24"/>
        </w:rPr>
        <w:br/>
        <w:t xml:space="preserve">years. Thus, by applying ESG factors, we can define new valuation criteria for company stocks.</w:t>
      </w:r>
      <w:r>
        <w:rPr>
          <w:color w:val="000000"/>
          <w:sz w:val="24"/>
          <w:szCs w:val="24"/>
        </w:rPr>
        <w:br/>
        <w:t xml:space="preserve">But the question arises: if macroeconomic factors change, will the demand for ESG stocks</w:t>
      </w:r>
      <w:r>
        <w:rPr>
          <w:color w:val="000000"/>
          <w:sz w:val="24"/>
          <w:szCs w:val="24"/>
        </w:rPr>
        <w:br/>
        <w:t xml:space="preserve">decrease or not? Does it have a negative impact on returns or risk? To answer these questions, I</w:t>
      </w:r>
      <w:r>
        <w:rPr>
          <w:color w:val="000000"/>
          <w:sz w:val="24"/>
          <w:szCs w:val="24"/>
        </w:rPr>
        <w:br/>
        <w:t xml:space="preserve">have used the Capital Asset Pricing Model (CAPM) and the Fama&amp;French three-factor model</w:t>
      </w:r>
      <w:r>
        <w:rPr>
          <w:color w:val="000000"/>
          <w:sz w:val="24"/>
          <w:szCs w:val="24"/>
        </w:rPr>
        <w:br/>
        <w:t xml:space="preserve">developed to evaluate the causal relationship between average return and stock prices such as</w:t>
      </w:r>
      <w:r>
        <w:rPr>
          <w:color w:val="000000"/>
          <w:sz w:val="24"/>
          <w:szCs w:val="24"/>
        </w:rPr>
        <w:br/>
        <w:t xml:space="preserve">Book to market ratio (B/M), standard return and size. Furthermore, my research was based on an</w:t>
      </w:r>
      <w:r>
        <w:rPr>
          <w:color w:val="000000"/>
          <w:sz w:val="24"/>
          <w:szCs w:val="24"/>
        </w:rPr>
        <w:br/>
        <w:t xml:space="preserve">ESG portfolio that I compiled, which included Hungarian companies that had a high ESG score</w:t>
      </w:r>
      <w:r>
        <w:rPr>
          <w:color w:val="000000"/>
          <w:sz w:val="24"/>
          <w:szCs w:val="24"/>
        </w:rPr>
        <w:br/>
        <w:t xml:space="preserve">or were operating in a greener industry. My calculations showed that the ESG portfolio</w:t>
      </w:r>
      <w:r>
        <w:rPr>
          <w:color w:val="000000"/>
          <w:sz w:val="24"/>
          <w:szCs w:val="24"/>
        </w:rPr>
        <w:br/>
        <w:t xml:space="preserve">outperformed the BUX index in average return most of the time and also showed lower volatility</w:t>
      </w:r>
      <w:r>
        <w:rPr>
          <w:color w:val="000000"/>
          <w:sz w:val="24"/>
          <w:szCs w:val="24"/>
        </w:rPr>
        <w:br/>
        <w:t xml:space="preserve">from 2018 to 2022. My calculations show that high ESG stocks can achieve more reasonable</w:t>
      </w:r>
      <w:r>
        <w:rPr>
          <w:color w:val="000000"/>
          <w:sz w:val="24"/>
          <w:szCs w:val="24"/>
        </w:rPr>
        <w:br/>
        <w:t xml:space="preserve">returns with lower risk and volatility when interest rate changes have taken place.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78349">
    <w:multiLevelType w:val="hybridMultilevel"/>
    <w:lvl w:ilvl="0" w:tplc="13606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78349">
    <w:abstractNumId w:val="72878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885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