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UHRIN</w:t>
            </w:r>
          </w:p>
          <w:p w:rsidR="00C275A3" w:rsidRDefault="00CA6B74" w:rsidP="00C275A3">
            <w:pPr>
              <w:pStyle w:val="Hallgatokepzes"/>
            </w:pPr>
            <w:r w:rsidRPr="001067CD">
              <w:rPr>
                <w:i/>
              </w:rPr>
              <w:t>david.uhrin@gmail.com</w:t>
            </w:r>
            <w:r w:rsidRPr="001067CD">
              <w:rPr>
                <w:i/>
              </w:rPr>
              <w:br/>
            </w:r>
            <w:r w:rsidR="00A96AEC">
              <w:t>Marketing</w:t>
            </w:r>
            <w:r w:rsidR="00A96AEC">
              <w:br/>
            </w:r>
            <w:r w:rsidR="00E77B23">
              <w:t>MA, 2.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Edit Szabó</w:t>
            </w:r>
          </w:p>
          <w:p w:rsidR="00DB4822" w:rsidRDefault="00DB4822" w:rsidP="00BA6BAF">
            <w:pPr>
              <w:pStyle w:val="Konzulensektitulus"/>
            </w:pPr>
            <w:r w:rsidRPr="00DB4822">
              <w:t>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 NON-CONSUMERS CONSUME? A COMPARATIVE AND ANALYTICAL EXAMINATION OF ORGANIZATIONAL CULTURE AND INDIVIDUAL-LEVEL CONSUMER BEHAVIOR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behavior; organizational culture; organizational behavior; non-consumption; employer branding</w:t>
      </w:r>
      <w:r>
        <w:t xml:space="preserve"/>
      </w:r>
    </w:p>
    <w:p>
      <w:pPr>
        <w:widowControl w:val="on"/>
        <w:pBdr/>
        <w:spacing w:before="240" w:after="240" w:line="240" w:lineRule="auto"/>
        <w:ind w:left="0" w:right="0"/>
        <w:jc w:val="left"/>
      </w:pPr>
      <w:r>
        <w:rPr>
          <w:color w:val="000000"/>
          <w:sz w:val="24"/>
          <w:szCs w:val="24"/>
        </w:rPr>
        <w:t xml:space="preserve">Excessive consumption pervades modern society. What actions can employers take to mitigate this? Can non-consumerist behavior gain traction at the organizational level? Can workplace culture influence employees’ consumer habits? These are the core questions my study seeks to answer, examining individual, peer-to-peer, and organizational dynamics.</w:t>
      </w:r>
    </w:p>
    <w:p>
      <w:pPr>
        <w:widowControl w:val="on"/>
        <w:pBdr/>
        <w:spacing w:before="240" w:after="240" w:line="240" w:lineRule="auto"/>
        <w:ind w:left="0" w:right="0"/>
        <w:jc w:val="left"/>
      </w:pPr>
      <w:r>
        <w:rPr>
          <w:color w:val="000000"/>
          <w:sz w:val="24"/>
          <w:szCs w:val="24"/>
        </w:rPr>
        <w:t xml:space="preserve">The research explores the relationship between group influences within organizations and individual consumer decisions. It aims to open new perspectives and uncover connections between two seemingly distinct but closely related fields through the following hypotheses:</w:t>
      </w:r>
    </w:p>
    <w:p>
      <w:pPr>
        <w:pStyle w:val="ListParagraphPHPDOCX"/>
        <w:numPr>
          <w:ilvl w:val="0"/>
          <w:numId w:val="46213938"/>
        </w:numPr>
        <w:spacing w:before="0" w:after="0" w:line="240" w:lineRule="auto"/>
        <w:contextualSpacing/>
        <w:jc w:val="left"/>
        <w:rPr>
          <w:sz w:val="24"/>
          <w:szCs w:val="24"/>
        </w:rPr>
      </w:pPr>
      <w:r>
        <w:rPr>
          <w:color w:val="000000"/>
          <w:sz w:val="24"/>
          <w:szCs w:val="24"/>
        </w:rPr>
        <w:t xml:space="preserve">Organizational consumer behavior influences employees’ consumer behavior.</w:t>
      </w:r>
    </w:p>
    <w:p>
      <w:pPr>
        <w:pStyle w:val="ListParagraphPHPDOCX"/>
        <w:numPr>
          <w:ilvl w:val="0"/>
          <w:numId w:val="46213938"/>
        </w:numPr>
        <w:spacing w:before="0" w:after="0" w:line="240" w:lineRule="auto"/>
        <w:contextualSpacing/>
        <w:jc w:val="left"/>
        <w:rPr>
          <w:sz w:val="24"/>
          <w:szCs w:val="24"/>
        </w:rPr>
      </w:pPr>
      <w:r>
        <w:rPr>
          <w:color w:val="000000"/>
          <w:sz w:val="24"/>
          <w:szCs w:val="24"/>
        </w:rPr>
        <w:t xml:space="preserve">Employees’ consumption habits interact with (peer-to-peer) colleagues’ consumer behaviors.</w:t>
      </w:r>
    </w:p>
    <w:p>
      <w:pPr>
        <w:pStyle w:val="ListParagraphPHPDOCX"/>
        <w:numPr>
          <w:ilvl w:val="0"/>
          <w:numId w:val="46213938"/>
        </w:numPr>
        <w:spacing w:before="0" w:after="0" w:line="240" w:lineRule="auto"/>
        <w:contextualSpacing/>
        <w:jc w:val="left"/>
        <w:rPr>
          <w:sz w:val="24"/>
          <w:szCs w:val="24"/>
        </w:rPr>
      </w:pPr>
      <w:r>
        <w:rPr>
          <w:color w:val="000000"/>
          <w:sz w:val="24"/>
          <w:szCs w:val="24"/>
        </w:rPr>
        <w:t xml:space="preserve">Bottom-up initiatives impact organizational consumer behavior.</w:t>
      </w:r>
    </w:p>
    <w:p>
      <w:pPr>
        <w:pStyle w:val="ListParagraphPHPDOCX"/>
        <w:numPr>
          <w:ilvl w:val="0"/>
          <w:numId w:val="46213938"/>
        </w:numPr>
        <w:spacing w:before="0" w:after="0" w:line="240" w:lineRule="auto"/>
        <w:contextualSpacing/>
        <w:jc w:val="left"/>
        <w:rPr>
          <w:sz w:val="24"/>
          <w:szCs w:val="24"/>
        </w:rPr>
      </w:pPr>
      <w:r>
        <w:rPr>
          <w:color w:val="000000"/>
          <w:sz w:val="24"/>
          <w:szCs w:val="24"/>
        </w:rPr>
        <w:t xml:space="preserve">Non-consumerist behavior can emerge among colleagues through mutual influence.</w:t>
      </w:r>
    </w:p>
    <w:p>
      <w:pPr>
        <w:pStyle w:val="ListParagraphPHPDOCX"/>
        <w:numPr>
          <w:ilvl w:val="0"/>
          <w:numId w:val="46213938"/>
        </w:numPr>
        <w:spacing w:before="0" w:after="0" w:line="240" w:lineRule="auto"/>
        <w:contextualSpacing/>
        <w:jc w:val="left"/>
        <w:rPr>
          <w:sz w:val="24"/>
          <w:szCs w:val="24"/>
        </w:rPr>
      </w:pPr>
      <w:r>
        <w:rPr>
          <w:color w:val="000000"/>
          <w:sz w:val="24"/>
          <w:szCs w:val="24"/>
        </w:rPr>
        <w:t xml:space="preserve">Opting out of consumption can be triggered by an inadequate work-life balance in the workplace environment.</w:t>
      </w:r>
    </w:p>
    <w:p>
      <w:pPr>
        <w:widowControl w:val="on"/>
        <w:pBdr/>
        <w:spacing w:before="240" w:after="240" w:line="240" w:lineRule="auto"/>
        <w:ind w:left="0" w:right="0"/>
        <w:jc w:val="left"/>
      </w:pPr>
      <w:r>
        <w:rPr>
          <w:color w:val="000000"/>
          <w:sz w:val="24"/>
          <w:szCs w:val="24"/>
        </w:rPr>
        <w:t xml:space="preserve">The study combines secondary data analysis and evaluation with quantitative surveys focusing on workplace services, group dynamics, and employee well-being. Quantitative findings are validated through qualitative focus group interviews with six small groups. Statistical analyses evaluate the survey results, while the qualitative data is examined using the means-end-chain technique.</w:t>
      </w:r>
    </w:p>
    <w:p>
      <w:pPr>
        <w:widowControl w:val="on"/>
        <w:pBdr/>
        <w:spacing w:before="240" w:after="240" w:line="240" w:lineRule="auto"/>
        <w:ind w:left="0" w:right="0"/>
        <w:jc w:val="left"/>
      </w:pPr>
      <w:r>
        <w:rPr>
          <w:color w:val="000000"/>
          <w:sz w:val="24"/>
          <w:szCs w:val="24"/>
        </w:rPr>
        <w:t xml:space="preserve">The results reveal that consumer behavior is an integral part of organizational culture and plays a significant role for employees when choosing a workplace. Furthermore, alongside authentic employer branding practices, inter-group dynamics within organizations contribute to creating a livable and exemplary workplace.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13938">
    <w:multiLevelType w:val="hybridMultilevel"/>
    <w:lvl w:ilvl="0" w:tplc="99859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13938">
    <w:abstractNumId w:val="46213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818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