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PALLÓS 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beni.pallos@gmail.com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Halmos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 jogán - Nemzetiszocialista és szovjet szocialista utópiák és előképeik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ideológiai építészet; monumentalitás; neoklasszika; várostervezés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kutatás tárgya a Harmadik Birodalomban és a Szovjetunióban lejátszódó társadalmi</w:t>
      </w:r>
      <w:r>
        <w:rPr>
          <w:color w:val="000000"/>
          <w:sz w:val="24"/>
          <w:szCs w:val="24"/>
        </w:rPr>
        <w:br/>
        <w:t xml:space="preserve">átalakítást kísérő építészeti projektek és történeti előképeik. A tanulmány bemutatja az</w:t>
      </w:r>
      <w:r>
        <w:rPr>
          <w:color w:val="000000"/>
          <w:sz w:val="24"/>
          <w:szCs w:val="24"/>
        </w:rPr>
        <w:br/>
        <w:t xml:space="preserve">építészet megváltoztatásának szoros összefüggéseit a két ország történelmével és vezetőik</w:t>
      </w:r>
      <w:r>
        <w:rPr>
          <w:color w:val="000000"/>
          <w:sz w:val="24"/>
          <w:szCs w:val="24"/>
        </w:rPr>
        <w:br/>
        <w:t xml:space="preserve">motivációival, érdekeivel. Mindkét állam egymással párhuzamosan ideológiája szolgálatába</w:t>
      </w:r>
      <w:r>
        <w:rPr>
          <w:color w:val="000000"/>
          <w:sz w:val="24"/>
          <w:szCs w:val="24"/>
        </w:rPr>
        <w:br/>
        <w:t xml:space="preserve">állította építészetét, hasonló céljaik és eszközeik révén sok közös vonás fedezhető fel köztük,</w:t>
      </w:r>
      <w:r>
        <w:rPr>
          <w:color w:val="000000"/>
          <w:sz w:val="24"/>
          <w:szCs w:val="24"/>
        </w:rPr>
        <w:br/>
        <w:t xml:space="preserve">és e terén (is) kapcsolatban álltak egymással. Moszkvára és Berlinre átépítés várt, hogy e két</w:t>
      </w:r>
      <w:r>
        <w:rPr>
          <w:color w:val="000000"/>
          <w:sz w:val="24"/>
          <w:szCs w:val="24"/>
        </w:rPr>
        <w:br/>
        <w:t xml:space="preserve">hatalom fővárosai tükrözzék a birodalmak erejét és nagyságát. Megnézzük, hogy mindehhez</w:t>
      </w:r>
      <w:r>
        <w:rPr>
          <w:color w:val="000000"/>
          <w:sz w:val="24"/>
          <w:szCs w:val="24"/>
        </w:rPr>
        <w:br/>
        <w:t xml:space="preserve">milyen múltbéli városokat és épületeket használtak mintaként, akár bizonyítottan, akár</w:t>
      </w:r>
      <w:r>
        <w:rPr>
          <w:color w:val="000000"/>
          <w:sz w:val="24"/>
          <w:szCs w:val="24"/>
        </w:rPr>
        <w:br/>
        <w:t xml:space="preserve">feltételezhetően. Feltárjuk az ideológiai kapcsolatokat az elmúlt kultúrák és az új építészet</w:t>
      </w:r>
      <w:r>
        <w:rPr>
          <w:color w:val="000000"/>
          <w:sz w:val="24"/>
          <w:szCs w:val="24"/>
        </w:rPr>
        <w:br/>
        <w:t xml:space="preserve">közt, ahol az biztos vagy lehetséges, valamint választ keresünk arra, hogy miért azok voltak</w:t>
      </w:r>
      <w:r>
        <w:rPr>
          <w:color w:val="000000"/>
          <w:sz w:val="24"/>
          <w:szCs w:val="24"/>
        </w:rPr>
        <w:br/>
        <w:t xml:space="preserve">az előképek, amiket kiválasztottak. Foglalkozunk Albert Speer rom érték elméletével,</w:t>
      </w:r>
      <w:r>
        <w:rPr>
          <w:color w:val="000000"/>
          <w:sz w:val="24"/>
          <w:szCs w:val="24"/>
        </w:rPr>
        <w:br/>
        <w:t xml:space="preserve">kitérünk az épületszobrászatra, ami ekkor élte utolsó aranykorát. Röviden bemutatjuk az új</w:t>
      </w:r>
      <w:r>
        <w:rPr>
          <w:color w:val="000000"/>
          <w:sz w:val="24"/>
          <w:szCs w:val="24"/>
        </w:rPr>
        <w:br/>
        <w:t xml:space="preserve">építészet legfőbb jellemzőit az 1937-es párizsi világkiállítás pavilonjain és a két legnagyobb</w:t>
      </w:r>
      <w:r>
        <w:rPr>
          <w:color w:val="000000"/>
          <w:sz w:val="24"/>
          <w:szCs w:val="24"/>
        </w:rPr>
        <w:br/>
        <w:t xml:space="preserve">tervezett épületen: a Szovjetek Palotáján és a Volkshallén keresztül. Megnézzük a</w:t>
      </w:r>
      <w:r>
        <w:rPr>
          <w:color w:val="000000"/>
          <w:sz w:val="24"/>
          <w:szCs w:val="24"/>
        </w:rPr>
        <w:br/>
        <w:t xml:space="preserve">várostervezés szempontjait, amit Hitler és Sztálin végig kézben tartottak. Végigmegyünk</w:t>
      </w:r>
      <w:r>
        <w:rPr>
          <w:color w:val="000000"/>
          <w:sz w:val="24"/>
          <w:szCs w:val="24"/>
        </w:rPr>
        <w:br/>
        <w:t xml:space="preserve">azokon a formáló hatású szükségleteken és rendeltetéseken, amik a múltból is ismertek, és</w:t>
      </w:r>
      <w:r>
        <w:rPr>
          <w:color w:val="000000"/>
          <w:sz w:val="24"/>
          <w:szCs w:val="24"/>
        </w:rPr>
        <w:br/>
        <w:t xml:space="preserve">most az állam szolgálatába lettek állítva. A múlt példáin keresztül magyarázatot keresünk rá,</w:t>
      </w:r>
      <w:r>
        <w:rPr>
          <w:color w:val="000000"/>
          <w:sz w:val="24"/>
          <w:szCs w:val="24"/>
        </w:rPr>
        <w:br/>
        <w:t xml:space="preserve">hogy a rendszereknek milyen hasznuk lett volna e hatalmas építkezésekből, miért gondolták</w:t>
      </w:r>
      <w:r>
        <w:rPr>
          <w:color w:val="000000"/>
          <w:sz w:val="24"/>
          <w:szCs w:val="24"/>
        </w:rPr>
        <w:br/>
        <w:t xml:space="preserve">kifizetődőnek. Levezetjük, hogy az állam miképp akarta elfoglalni a központi helyet az</w:t>
      </w:r>
      <w:r>
        <w:rPr>
          <w:color w:val="000000"/>
          <w:sz w:val="24"/>
          <w:szCs w:val="24"/>
        </w:rPr>
        <w:br/>
        <w:t xml:space="preserve">életben az építészeten keresztül is, milyen módon szándékozták az ideológiát az ember</w:t>
      </w:r>
      <w:r>
        <w:rPr>
          <w:color w:val="000000"/>
          <w:sz w:val="24"/>
          <w:szCs w:val="24"/>
        </w:rPr>
        <w:br/>
        <w:t xml:space="preserve">vallásává tenni, tanulva az addig létező vallások alkotásaiból, helyettesítve azokat. A</w:t>
      </w:r>
      <w:r>
        <w:rPr>
          <w:color w:val="000000"/>
          <w:sz w:val="24"/>
          <w:szCs w:val="24"/>
        </w:rPr>
        <w:br/>
        <w:t xml:space="preserve">tanulmány összességében megmutatja, hogy ezek a projektek jóval többek voltak puszta</w:t>
      </w:r>
      <w:r>
        <w:rPr>
          <w:color w:val="000000"/>
          <w:sz w:val="24"/>
          <w:szCs w:val="24"/>
        </w:rPr>
        <w:br/>
        <w:t xml:space="preserve">megalomániás álmodozásnál, és jóval fontosabbak voltak, mint amennyire első benyomásra</w:t>
      </w:r>
      <w:r>
        <w:rPr>
          <w:color w:val="000000"/>
          <w:sz w:val="24"/>
          <w:szCs w:val="24"/>
        </w:rPr>
        <w:br/>
        <w:t xml:space="preserve">tűnhet.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0000" cy="4089600"/>
            <wp:docPr id="80909613" name="name167dab8235a00c" descr="imgtmp_97048_hu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7048_hu_1.jpeg"/>
                    <pic:cNvPicPr/>
                  </pic:nvPicPr>
                  <pic:blipFill>
                    <a:blip r:embed="rId167dab82359fc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8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70210">
    <w:multiLevelType w:val="hybridMultilevel"/>
    <w:lvl w:ilvl="0" w:tplc="78010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70210">
    <w:abstractNumId w:val="25270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680324" Type="http://schemas.openxmlformats.org/officeDocument/2006/relationships/numbering" Target="numbering.xml"/><Relationship Id="rId167dab82359fcd" Type="http://schemas.openxmlformats.org/officeDocument/2006/relationships/image" Target="media/imgrId167dab82359fcd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