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MANTUANO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eszti.mantuano@gmail.com</w:t>
            </w:r>
            <w:r w:rsidRPr="001067CD">
              <w:rPr>
                <w:i/>
              </w:rPr>
              <w:br/>
            </w:r>
            <w:r w:rsidR="00A96AEC">
              <w:t>Építészmérnöki mesterképzési szak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Szabó Levente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egyszerű jelenlét - fókuszban a veszprémi Szent Mihály főszékesegyház kortárs felújítása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veszprém; székesegyház; felújítás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huszonegyedik században jelentkező kihívások, problémák új szemléletmódot kívánnak a kor emberétől, így az építészetről gondolkodóktól is. Ennek egyik elemeként, a már meglévő épületállományunk méltó fenntartása és kortárs igényekkel átszőtt újraértelmezése egy olyan kérdéskör, melynek részletekbe menő megértéséhez szerteágazó diskurzuson és kompromisszumokon keresztül vezet az út. Kiváltképpen izgalmas a kérdés, ha a tárgyalt mű egy, a történeti értéke mellett a használó közösség kollektív emlékezetében is jelentős szerepet betöltő műemlék épület. A téma aktualitását számomra a veszprémi Szent Mihály főszékesegyház felújítása körül folyó diskurzus jelenti, mely egyedi, ám nem előzmény nélküli az átalakuló nemzetközi és hazai műemlékvédelmi gyakorlatban, kifejezetten a szakrális funkciójú épületeket vizsgálva.</w:t>
      </w:r>
      <w:r>
        <w:rPr>
          <w:color w:val="000000"/>
          <w:sz w:val="24"/>
          <w:szCs w:val="24"/>
        </w:rPr>
        <w:br/>
        <w:t xml:space="preserve">Az elmúlt időszakban több építészet-fókuszú, érzelem-vezérelt vagy éppen műemlékvédelmi indíttatású írás is született a témában, mely felkeltette az érdeklődésemet. Ezen írások által tárgyalt szempontok rendszerezése és a hozzájuk kapcsolható szakirodalom – továbbá hazai és nemzetközi példákon, valamint a CZITA építésziroda tervein keresztül történő – vizsgálata képezik a dolgozatom gerincét, a helyszíni bejárásaim és a tervezőkkel folytatott beszélgetés mellett. A veszprémi példa egyrészt tipikusnak mondható, ugyanakkor legalább három egymástól részben független, részben egymással összefüggő megközelítés izgalmas metszéspontjaként is értelmezhető.</w:t>
      </w:r>
      <w:r>
        <w:rPr>
          <w:color w:val="000000"/>
          <w:sz w:val="24"/>
          <w:szCs w:val="24"/>
        </w:rPr>
        <w:br/>
        <w:t xml:space="preserve">Az egyik ilyen az örökségvédelem változásban lévő, a korábbi chartákra alapuló, dogmatikus elvek megkérdőjelezéseiből is tükröződő szemléletváltozásaiból összeálló diskurzus. A másik a mindenkori használók, a közösség igényei, azok artikulálása és figyelembevétele egy-egy ilyen horderejű átépítés során. Végül a harmadik a tervezői szemlélet, felfogás és gyakorlat sajátos, belső mozgatórugói, amelyek a kortárs hazai és nemzetközi építészet kontextusában vizsgálandók.</w:t>
      </w:r>
      <w:r>
        <w:rPr>
          <w:color w:val="000000"/>
          <w:sz w:val="24"/>
          <w:szCs w:val="24"/>
        </w:rPr>
        <w:br/>
        <w:t xml:space="preserve">E három szempontrendszer, és a veszprémi székesegyház megújításában tetten érhető sajátos egymásrahatásaik elemzése dolgozatom legfőbb célja. Feltételezem, hogy mindezek mélyebb, együttes átlátása és e részben közérthető, részben szakmai szempontokkal kapcsolatos többirányú kommunikáció vezethet az épületben felfedezhető látszólagos ellentmondások feloldásához, az ilyen és ehhez hasonló beavatkozások megértéséhez.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835350">
    <w:multiLevelType w:val="hybridMultilevel"/>
    <w:lvl w:ilvl="0" w:tplc="780083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835350">
    <w:abstractNumId w:val="648353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56578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