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INCZE IZABELLA-JANKA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incze.izabella.janka@gmail.com</w:t>
            </w:r>
            <w:r w:rsidRPr="001067CD">
              <w:rPr>
                <w:i/>
              </w:rPr>
              <w:br/>
            </w:r>
            <w:r w:rsidR="00A96AEC">
              <w:t>Európai Unió magánjoga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Zsolt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művészet és a mesterséges intelligencia metszetében: A generatív AI által létrehozott szerzemények szerzői jogi aspektusai az Európai Unióban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Generative AI; Copyright; European Union; Artificial Intelligence; Creative Works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generatív mesterséges intelligencia által létrehozott művek szerzői jogi kihívásait vizsgálja az Európai Unió jogi környezetében. A mesterséges intelligencia térnyerése a kreatív iparágakban alapvető kérdéseket vet fel az eredetiség, a szellemi tulajdon és a szerzőség fogalmának újraértelmezésével kapcsolatban.</w:t>
      </w:r>
      <w:r>
        <w:rPr>
          <w:color w:val="000000"/>
          <w:sz w:val="24"/>
          <w:szCs w:val="24"/>
        </w:rPr>
        <w:br/>
        <w:t xml:space="preserve">A tanulmány részletesen elemzi a mesterséges intelligencia különböző típusait és működési mechanizmusait, különös tekintettel a generatív AI-ra, amely autonóm módon képes képeket, szövegeket, zenét és egyéb művészeti alkotásokat létrehozni. Ezt követően bemutatja az Európai Unió mesterséges intelligenciára vonatkozó etikai és jogi keretrendszerét, amely az emberközpontú megközelítést és a jogbiztonság fenntartását helyezi előtérbe.</w:t>
      </w:r>
      <w:r>
        <w:rPr>
          <w:color w:val="000000"/>
          <w:sz w:val="24"/>
          <w:szCs w:val="24"/>
        </w:rPr>
        <w:br/>
        <w:t xml:space="preserve">A tanulmány megállapítja, hogy az uniós jog jelenlegi szabályozási rendszere korlátozottan alkalmas a generatív AI által létrehozott alkotások szerzői jogi oltalmának biztosítására, mivel a szerzőséget továbbra is az emberi alkotóhoz köti. A dolgozat felhívja a figyelmet a szabályozás dinamikus fejlődésének szükségességére, amely lépést tud tartani a mesterséges intelligencia innovációival és a kreatív ipar változó igényeivel. Ennek érdekében hangsúlyozza a jogi és informatikai szakterületek közötti multidiszciplináris párbeszéd fontosságát.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75880">
    <w:multiLevelType w:val="hybridMultilevel"/>
    <w:lvl w:ilvl="0" w:tplc="44067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75880">
    <w:abstractNumId w:val="454758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16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