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STELCZ REBEKA</w:t>
            </w:r>
          </w:p>
          <w:p w:rsidR="00C275A3" w:rsidRDefault="00CA6B74" w:rsidP="00C275A3">
            <w:pPr>
              <w:pStyle w:val="Hallgatokepzes"/>
            </w:pPr>
            <w:r w:rsidRPr="001067CD">
              <w:rPr>
                <w:i/>
              </w:rPr>
              <w:t>stelcz.rebeka@hallgato.ppke.hu</w:t>
            </w:r>
            <w:r w:rsidRPr="001067CD">
              <w:rPr>
                <w:i/>
              </w:rPr>
              <w:br/>
            </w:r>
            <w:r w:rsidR="00A96AEC">
              <w:t>Orvosi biotechnológia</w:t>
            </w:r>
            <w:r w:rsidR="00A96AEC">
              <w:br/>
            </w:r>
            <w:r w:rsidR="00E77B23">
              <w:t>MSc, 4. félév</w:t>
            </w:r>
          </w:p>
          <w:p w:rsidR="00C265CE" w:rsidRPr="009E5FF1" w:rsidRDefault="00E77B23" w:rsidP="00BA6BAF">
            <w:pPr>
              <w:pStyle w:val="Hallgatointezmeny-kar"/>
              <w:rPr>
                <w:b/>
                <w:caps/>
              </w:rPr>
            </w:pPr>
            <w:r>
              <w:t>Pázmány Péter Katolikus Egyetem</w:t>
            </w:r>
            <w:r w:rsidR="00C275A3">
              <w:br/>
            </w:r>
            <w:r w:rsidR="00DB4822">
              <w:t>Információs Technológiai és Bionikai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Tóth Estilla Zsófia</w:t>
            </w:r>
          </w:p>
          <w:p w:rsidR="00DB4822" w:rsidRDefault="00DB4822" w:rsidP="00BA6BAF">
            <w:pPr>
              <w:pStyle w:val="Konzulensektitulus"/>
            </w:pPr>
            <w:r w:rsidRPr="00DB4822">
              <w:t>Tudományos munkatárs,  HUN-REN TTK, Kognitív Idegtudományi és Pszichológiai 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Exploring Human Organotypic Neuronal Tissue Cultures for Investigating Central Nervous System Changes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human agykéreg; szövettenyésztés; immunfestés; fluoreszcencia;</w:t>
      </w:r>
      <w:r>
        <w:t xml:space="preserve"/>
      </w:r>
    </w:p>
    <w:p>
      <w:pPr>
        <w:widowControl w:val="on"/>
        <w:pBdr/>
        <w:spacing w:before="240" w:after="240" w:line="240" w:lineRule="auto"/>
        <w:ind w:left="0" w:right="0"/>
        <w:jc w:val="left"/>
      </w:pPr>
      <w:r>
        <w:rPr>
          <w:color w:val="000000"/>
          <w:sz w:val="24"/>
          <w:szCs w:val="24"/>
        </w:rPr>
        <w:t xml:space="preserve">Several animal and computational models help studying the central nervous system's properties, advancing our understanding of neuronal behaviour, neurodegenerative diseases, and potential treatments. Despite their value, translating findings from animal models to humans is limited by the human brain's unique cellular, molecular, and network features. Human organotypic brain tissue cultures offer an excellent opportunity to explore the characteristics of the human brain on the cellular and molecular level and assess novel pharmaceutical compounds in a more realistic environment. This method enables the preservation of cell populations together with their connections. Furthermore, this ex vivo approach facilitates long-lasting experiments, such as viral vector applications for gene delivery, which are not feasible with acute tissue samples.</w:t>
      </w:r>
      <w:r>
        <w:rPr>
          <w:color w:val="000000"/>
          <w:sz w:val="24"/>
          <w:szCs w:val="24"/>
        </w:rPr>
        <w:br/>
        <w:t xml:space="preserve">Our research aims to establish stable human organotypic tissue cultures for extracellular or intracellular recordings and optogenetics, which provide rapid optical control and insights into neuronal activity. Tissues were maintained in six-well plates under sterile conditions, testing two culture media and antibiotics for infection prevention. We conducted electrophysiological measurements, anatomical assessments and immunostaining to investigate cellular-level changes. Current work involves anatomical characterization based on anti-NeuN antibody and Fluoro-Jade C staining. These methods enabled us to examine alterations in the number of the neurons in the neocortex and cell death, respectively. I did comparative analyses regarding pyramidal cell number and the preservation of the tissue focusing on various factors, including the influence of culture medium composition, viral vector application, and staining protocols. Our central objective is to assess the extent to which the cytoarchitecture of the neocortical tissue culture can be preserved in comparison to its acute state.</w:t>
      </w:r>
      <w:r>
        <w:rPr>
          <w:color w:val="000000"/>
          <w:sz w:val="24"/>
          <w:szCs w:val="24"/>
        </w:rPr>
        <w:br/>
        <w:t xml:space="preserve">According to my research, the cell density decreases most prominently during the first week which is followed by a stabilisation. Although there was a visible difference in the preservation of the tissue, neither the antibiotics nor the culture medium had a significant impact on cell density. Histogram analysis based on the fluorescent staining showed significant differences in profiles between cultures, time points and staining methodology. Although human organotypic cultures preserve their structure, they show remarkable reorganization with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098050">
    <w:multiLevelType w:val="hybridMultilevel"/>
    <w:lvl w:ilvl="0" w:tplc="122942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098050">
    <w:abstractNumId w:val="650980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3882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