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CSÁNYI BENDEGÚZ BENCE</w:t>
            </w:r>
          </w:p>
          <w:p w:rsidR="00C275A3" w:rsidRDefault="00CA6B74" w:rsidP="00C275A3">
            <w:pPr>
              <w:pStyle w:val="Hallgatokepzes"/>
            </w:pPr>
            <w:r w:rsidRPr="001067CD">
              <w:rPr>
                <w:i/>
              </w:rPr>
              <w:t>csanyibb201@gmail.com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Szivós Kristóf</w:t>
            </w:r>
          </w:p>
          <w:p w:rsidR="00DB4822" w:rsidRDefault="00DB4822" w:rsidP="00BA6BAF">
            <w:pPr>
              <w:pStyle w:val="Konzulensektitulus"/>
            </w:pPr>
            <w:r w:rsidRPr="00DB4822">
              <w:t>tanársegéd,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meg nem engedett keresethalmazatok dogmatikai és gyakorlati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Pp.; keresethalmazat; pertársaság; sajtó-helyreigazítás</w:t>
      </w:r>
      <w:r>
        <w:t xml:space="preserve"/>
      </w:r>
    </w:p>
    <w:p>
      <w:pPr>
        <w:widowControl w:val="on"/>
        <w:pBdr/>
        <w:spacing w:before="240" w:after="240" w:line="240" w:lineRule="auto"/>
        <w:ind w:left="0" w:right="0"/>
        <w:jc w:val="left"/>
      </w:pPr>
      <w:r>
        <w:rPr>
          <w:color w:val="000000"/>
          <w:sz w:val="24"/>
          <w:szCs w:val="24"/>
        </w:rPr>
        <w:t xml:space="preserve">A meg nem engedett keresethalmazatok vizsgálatának az indokoltáságát az adja, hogy az új polgári perrendtartásról szóló törvény módosított a keresethalmazatokra vonatkozó korábbi szabályozáson. Ennek megfelelően a kutatásom célja az volt, hogy megvizsgáljam, hogy az új Pp. 2018-as hatálybalépése óta a bírósági jogalkalmazás miképp alkalmazza a szabályokat.</w:t>
      </w:r>
    </w:p>
    <w:p>
      <w:pPr>
        <w:widowControl w:val="on"/>
        <w:pBdr/>
        <w:spacing w:before="240" w:after="240" w:line="240" w:lineRule="auto"/>
        <w:ind w:left="0" w:right="0"/>
        <w:jc w:val="left"/>
      </w:pPr>
      <w:r>
        <w:rPr>
          <w:color w:val="000000"/>
          <w:sz w:val="24"/>
          <w:szCs w:val="24"/>
        </w:rPr>
        <w:t xml:space="preserve">A kutatásom során alapvetően fel kívántam mérni mind a tárgyi, mind pedig a személyi keresethalmazatok előterjesztésének feltételeit, valamint a törvény által megszabott akadályait. Továbbá a kutatómunkám fő célja az volt, hogy felmérjem, hogy ezen új – helyenként jelentős jogértelmezést igénylő - szabályokat a gyakorlatban a bíróságok miképp alkalmazzák.</w:t>
      </w:r>
    </w:p>
    <w:p>
      <w:pPr>
        <w:widowControl w:val="on"/>
        <w:pBdr/>
        <w:spacing w:before="240" w:after="240" w:line="240" w:lineRule="auto"/>
        <w:ind w:left="0" w:right="0"/>
        <w:jc w:val="left"/>
      </w:pPr>
      <w:r>
        <w:rPr>
          <w:color w:val="000000"/>
          <w:sz w:val="24"/>
          <w:szCs w:val="24"/>
        </w:rPr>
        <w:t xml:space="preserve">Ennek megfelelően a tanulmányomat kettő, egymástól jól elhatárolható részre osztottam. Az első részében kizárólag az egyes halmazattípusok dogmatikai megjelenését elemeztem, amely során bemutatásra kerülnek az egyes halmazatok, valamint azok létrejöttének és megszüntetésének lehetséges esetei.</w:t>
      </w:r>
    </w:p>
    <w:p>
      <w:pPr>
        <w:widowControl w:val="on"/>
        <w:pBdr/>
        <w:spacing w:before="240" w:after="240" w:line="240" w:lineRule="auto"/>
        <w:ind w:left="0" w:right="0"/>
        <w:jc w:val="left"/>
      </w:pPr>
      <w:r>
        <w:rPr>
          <w:color w:val="000000"/>
          <w:sz w:val="24"/>
          <w:szCs w:val="24"/>
        </w:rPr>
        <w:t xml:space="preserve">A tanulmány második részben pedig a keresethalmaztok gyakorlati megjelenésére fókuszáltam, szintén külön-külön bemutatva a tárgyi és személyi keresethalmazatokat, illetve e mellett kitértem a sajtó-helyreigazítási perek gyakorlatára, valamint a másodfokon észlelt meg nem engedett halmazatokra is. E tekintetben a kutatásomat részben a Szegedi Törvényszéken végeztem iratbetekintés útján, valamint a Bírósági Határozatok Gyűjteményében talált releváns határozatok feldolgozása révén. A tanulmányomban megközelítőleg ötven peres eljárás során hozott határozatot használtam fel.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98511">
    <w:multiLevelType w:val="hybridMultilevel"/>
    <w:lvl w:ilvl="0" w:tplc="23607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98511">
    <w:abstractNumId w:val="68398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5374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