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VIKTOR</w:t>
            </w:r>
          </w:p>
          <w:p w:rsidR="00C275A3" w:rsidRDefault="00CA6B74" w:rsidP="00C275A3">
            <w:pPr>
              <w:pStyle w:val="Hallgatokepzes"/>
            </w:pPr>
            <w:r w:rsidRPr="001067CD">
              <w:rPr>
                <w:i/>
              </w:rPr>
              <w:t>horvathviktor026@gmail.com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Törőcsikné Dr. Görög Márta</w:t>
            </w:r>
          </w:p>
          <w:p w:rsidR="00DB4822" w:rsidRDefault="00DB4822" w:rsidP="00BA6BAF">
            <w:pPr>
              <w:pStyle w:val="Konzulensektitulus"/>
            </w:pPr>
            <w:r w:rsidRPr="00DB4822">
              <w:t>egyetemi tanár,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építményi jog reformjának szemlélete: Magyar és német perspektívák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Tulajdonjog, idegen dologbeli jogok, alkotórész, ráépítés, építményi jog,</w:t>
      </w:r>
      <w:r>
        <w:t xml:space="preserve"/>
      </w:r>
    </w:p>
    <w:p>
      <w:pPr>
        <w:widowControl w:val="on"/>
        <w:pBdr/>
        <w:spacing w:before="240" w:after="240" w:line="240" w:lineRule="auto"/>
        <w:ind w:left="0" w:right="0"/>
        <w:jc w:val="left"/>
      </w:pPr>
      <w:r>
        <w:rPr>
          <w:color w:val="000000"/>
          <w:sz w:val="24"/>
          <w:szCs w:val="24"/>
        </w:rPr>
        <w:t xml:space="preserve">Kutatásom az idegen telken történő építkezés elméleti és gyakorlati kérdéseinek vizsgálatát tűzte ki célul. Ennek indokoltságát adja az elmúlt száz év kapcsán megjelenő jogalkotási kísérletek sora, amelynek következő fontos állomása az építményi jog rekodifikálása. A vizsgálat erősen épít a német és a hazai jogtörténeti erdeményekre. Az építményi jog folytonos heves vitákat indukált a XIX. század kezdetétől fogva, megosztva a hazai jogászi közvéleményt. Dolgozatom így két főkérdés köré összpontosult. Egyrészről hogyan térképezhető fel az elmúlt száz év elmélete és gyakorlata az idegen telken történő építkezés kapcsán, különös tekintettel a párhuzamos jogintézmények hatályos szabályozására. Elsősorban kitértem a probléma alapját, mint főszabályt szolgáltató aedificium solo cedit elvére és annak jogrendszerben betöltött szerepére. Kiemelt figyelemben részesült a földterület és az épület tulajdonjogának elválaszthatóságára vonatkozó szabályozás, a kapcsolódó földhasználati jog, valamint a ráépítés, mint tulajdonszerzési mód gyakorlata. Egyes diszfunkcióik kimutatását végeztem el, amely megalapozta az építményi jog visszavezetését, amellett, hogy e jogintézmények ugyanúgy törekszenek a más telkén emelt építményre megfelelő ráhatást nyújtani. Másrészről tüzetesen vizsgáltam az építményi jog egyes dogmatikai kérdéseit, amelyek eddig ismeretlenek vagy periférikus jellegűek voltak a magyar dologi jog rendszerében. Egy olyan állagjogról van szó, ami forgalomképes, megterhelhető és örökölhető. Másrészről fontos eleme a jog tartalmának szerződéssel történő részletes rendezése, mely lényegében a dologi és kötelmi jog közötti határok áttörését eredményezheti. Másrészről óvatosságot igényel, hogy mind az Mtj.-ben, illetve a német törvényekben megjelenő építményi jog dogmatikai felépítésétől a hatályos szabályozás eltér és egy harmadik utat követ. Összességében egy régóta húzódó vitát zárt le a jogalkotó helyesen az építményi jog visszavezetésével. Megfelelően illesztette be a dologi jog rendszerébe, anélkül, hogy a földhasználati jog és egyéb hasonló jogpolitikai rendeltetésű intézmények szabályait összezavarta volna. Ellenben számos nóvum jelenik meg az építményi jog által, amelyet a jogtudománynak és a bírói gyakorlatnak megfelelően ki kell bontania. Az egyes tényezők értékelése kapcsán rendezőelvvé válik a harmadik személyek, azaz a zálogjogosultak érdeke az építményi jog kapcsán, ugyanis jogintézmény stabilitásához zálogtárgyi jellege miatt elemi érdek fűződik.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03719">
    <w:multiLevelType w:val="hybridMultilevel"/>
    <w:lvl w:ilvl="0" w:tplc="5574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03719">
    <w:abstractNumId w:val="68903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062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