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BRINDZA ZSANETT LORETTA</w:t>
            </w:r>
          </w:p>
          <w:p w:rsidR="00C275A3" w:rsidRDefault="00CA6B74" w:rsidP="00C275A3">
            <w:pPr>
              <w:pStyle w:val="Hallgatokepzes"/>
            </w:pPr>
            <w:r w:rsidRPr="001067CD">
              <w:rPr>
                <w:i/>
              </w:rPr>
              <w:t>brindzazsanett@gmail.com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Siket Judit</w:t>
            </w:r>
          </w:p>
          <w:p w:rsidR="00DB4822" w:rsidRDefault="00DB4822" w:rsidP="00BA6BAF">
            <w:pPr>
              <w:pStyle w:val="Konzulensektitulus"/>
            </w:pPr>
            <w:r w:rsidRPr="00DB4822">
              <w:t>adjunktus, SZTE ÁJK</w:t>
            </w:r>
          </w:p>
        </w:tc>
      </w:tr>
      <w:tr w:rsidR="00DB4822" w:rsidTr="00DB4822">
        <w:tc>
          <w:tcPr>
            <w:tcW w:w="9854" w:type="dxa"/>
          </w:tcPr>
          <w:p w:rsidR="00DB4822" w:rsidRPr="00DB4822" w:rsidRDefault="00DB4822" w:rsidP="00BA6BAF">
            <w:pPr>
              <w:pStyle w:val="Konzulenseknev"/>
            </w:pPr>
            <w:r w:rsidRPr="00DB4822">
              <w:t>Dr. habil. Csatlós Erzsébet</w:t>
            </w:r>
          </w:p>
          <w:p w:rsidR="00DB4822" w:rsidRDefault="00DB4822" w:rsidP="00BA6BAF">
            <w:pPr>
              <w:pStyle w:val="Konzulensektitulus"/>
            </w:pPr>
            <w:r w:rsidRPr="00DB4822">
              <w:t>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jó közigazgatástól a jó indokolásig de lege 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 jó közigazgatás; indokolási kötelezettség; indokolt döntéshez való jog; tisztességes hatósági eljáráshoz való jog; megfelelő ügyintézéshez való jog</w:t>
      </w:r>
      <w:r>
        <w:t xml:space="preserve"/>
      </w:r>
    </w:p>
    <w:p>
      <w:pPr>
        <w:widowControl w:val="on"/>
        <w:pBdr/>
        <w:spacing w:before="240" w:after="240" w:line="240" w:lineRule="auto"/>
        <w:ind w:left="0" w:right="0"/>
        <w:jc w:val="left"/>
      </w:pPr>
      <w:r>
        <w:rPr>
          <w:color w:val="000000"/>
          <w:sz w:val="24"/>
          <w:szCs w:val="24"/>
        </w:rPr>
        <w:t xml:space="preserve">A jó közigazgatás eszméje egy újkeletű közigazgatási jogi szemléletváltásnak is tekinthető. Ez az elképzelés a közigazgatás működésének hatékonyabbá és eredményesebbé tételét célozza meg. Ezen dolgozat megírásával a célom az volt, hogy összevessem a jó közigazgatást a rendelkezésre álló jogértelmező és jogalkalmazói szempontokból levont következtetéseimmel, valamint a lehető legtöbb aspektusból vizsgáljam és mutassam be a jó közigazgatás egyik legfontosabb garanciális elemét, az indokolás követelményét. Egy komplex és átfogó képet kívánok átadni az olvasónak azzal, ahogy a vizsgált tárgykört megközelítem nemzetközi és hazai szinten, alkotmányos és egyéb jogforrási szemszögből, valamint elméleti és gyakorlati jelleggel is.</w:t>
      </w:r>
    </w:p>
    <w:p>
      <w:pPr>
        <w:widowControl w:val="on"/>
        <w:pBdr/>
        <w:spacing w:before="240" w:after="240" w:line="240" w:lineRule="auto"/>
        <w:ind w:left="0" w:right="0"/>
        <w:jc w:val="left"/>
      </w:pPr>
      <w:r>
        <w:rPr>
          <w:color w:val="000000"/>
          <w:sz w:val="24"/>
          <w:szCs w:val="24"/>
        </w:rPr>
        <w:t xml:space="preserve">A közigazgatás fejlődésének volumenét nem csupán a nemzetközi színtérre való kiterjedése igazolja, hanem az is, hogy a nemzetek alkotmányaiban is helyet kaptak a közigazgatási eljárási garanciák. Magyarországon sem alakult ez másként, így dolgozatomban a hazai alkotmányos környezetet taglaltam, valamint vizsgáltam az Alkotmánybíróság értelmező, orientáló szerepét. Végül kitértem arra, hogy a közigazgatási jogszabályok hogyan rendelkeznek az indokolási kötelezettségről és a bírói gyakorlat milyen irányokat szab.</w:t>
      </w:r>
    </w:p>
    <w:p>
      <w:pPr>
        <w:widowControl w:val="on"/>
        <w:pBdr/>
        <w:spacing w:before="240" w:after="240" w:line="240" w:lineRule="auto"/>
        <w:ind w:left="0" w:right="0"/>
        <w:jc w:val="left"/>
      </w:pPr>
      <w:r>
        <w:rPr>
          <w:color w:val="000000"/>
          <w:sz w:val="24"/>
          <w:szCs w:val="24"/>
        </w:rPr>
        <w:t xml:space="preserve">Megállapítható, hogy a jó közigazgatás leginkább egy eljárásjogi szempontból megközelítendő fogalom, amely legfőképpen közigazgatási eljárásjogi követelményeket foglal magában. A hatóságok döntésének indokolási kötelezettsége pedig a jó közigazgatás követelménye mögött védelmi rendszerként húzódó tisztességes bírósági és hatósági eljárásnak az elengedhetetlen eleme. Az indokolásra azonban – jellegéből fakadóan – nem írható elő egységes kritériumrendszer, azt mindig az adott ügy körülményei és a döntés jellege határozza meg. Ebből következik, hogy ezeket a követelményeket a bírói gyakorlat alakította ki. Átvizsgálva az EJEB, az AB és a Kúria esetjogát, az indokolásra vonatkozó bírói gyakorlatról az állapítható meg, hogy kisebb hiányosságok vagy mulasztások nem eredményezik a sérelmét. Habár az is igaz, hogy a bíróságok – az indokolás szabályozásának homályossága és tömörsége miatt – annak megítélésére kiterjedt mérlegelési jogkörrel rendelkeznek. Ez az instabil helyzet azt vonja maga után, hogy az indokolási kötelezettség megsértése csupán csak nyilvánvaló jogsérelem esetén kerül megállapításra és akkor, ha arra valamilyen egyéb okból kifolyólag szükség mutatkozik.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37114">
    <w:multiLevelType w:val="hybridMultilevel"/>
    <w:lvl w:ilvl="0" w:tplc="28504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37114">
    <w:abstractNumId w:val="85537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821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