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URBANCSOK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urbimarci@gmail.com</w:t>
            </w:r>
            <w:r w:rsidRPr="001067CD">
              <w:rPr>
                <w:i/>
              </w:rPr>
              <w:br/>
            </w:r>
            <w:r w:rsidR="00A96AEC">
              <w:t>Jogász osztatlan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Andor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büntetőjogi tulajdonvédelem mint a véleménynyilvánítási szabadság korlátja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véleménynyilvánítás szabadsága, büntetőjogi tulajdonvédelem, alapjogi kollízió, tettleges véleménynyilvánítás, járdafestés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véleménynyilvánítási szabadság és a tulajdon védelme közötti feszültség napjaink jogrendszerében egyre fontosabb kérdéseket vet fel, különösen a büntetőjog területén.</w:t>
      </w:r>
      <w:r>
        <w:rPr>
          <w:color w:val="000000"/>
          <w:sz w:val="24"/>
          <w:szCs w:val="24"/>
        </w:rPr>
        <w:br/>
        <w:t xml:space="preserve">A véleménynyilvánítási szabadság a demokratikus társadalom egyik alappillére, amely lehetővé teszi, hogy az egyének szabadon kifejezzék gondolataikat anélkül, hogy az állam beavatkozna. A véleménynyilvánítást azonban nem lehet korlátozás nélkül gyakorolni, az Alaptörvény mellett más törvények is korlátozzák ezeket jogokat. A büntetőjogi tulajdonvédelem a jogrendszer azon területe, amely az egyéni és közösségi tulajdon védelmét szolgálja. A tulajdonhoz való jog az alapjogok közé tartozik, és védelmét a büntetőjog is biztosítja. A kollízió akkor jelenik meg, amikor a véleménynyilvánítás olyan mértékben ütközik mások tulajdonhoz fűződő jogával, hogy jogi intézkedéseket von maga után. Az egyensúly megtalálása a két jog között különösen érzékeny kérdéseket vet fel, hiszen mindkét jog védelme alapvető jelentőséggel bír. Különösen igaz ez a tettleges véleménynyíilvánítás és a tulajdonjog védelmének összeütközésére (járdafestés, politikai plakátrongálás, lemosható festékkel való rongálás, stb.).</w:t>
      </w:r>
      <w:r>
        <w:rPr>
          <w:color w:val="000000"/>
          <w:sz w:val="24"/>
          <w:szCs w:val="24"/>
        </w:rPr>
        <w:br/>
        <w:t xml:space="preserve">A kollízió kezelésére az igénybe vehető eszközök a törvényi szabályozás, bírói gyakorlat, jogegységi határozat és alkotmánybírósági döntés. A hazai joggyakorlat nem egységes. A témakört érintően született Alkotmánybírósági döntés, Jogegységi határozat is, azonban ezek differenciált jellege nem oldotta meg a problémát. Az eljáró bíróságoknak mérlegelniük kell, hogy a véleménynyilvánítás ne sértse a mások tulajdonhoz fűződő jogait, ugyanakkor biztosítaniuk kell a szólás szabadságát is, amennyiben az nem ütközik más alapvető jogokkal. Sok esetben problémát okoz, hogy az eljáró bíró nem végez alapjogi tesztet, hanem csak a büntető törvénykönyv alapján ítél, figyelmen kívül hagyva a véleménynyilvánítás szabadságának jogát.</w:t>
      </w:r>
      <w:r>
        <w:rPr>
          <w:color w:val="000000"/>
          <w:sz w:val="24"/>
          <w:szCs w:val="24"/>
        </w:rPr>
        <w:br/>
        <w:t xml:space="preserve">Összességében a véleménynyilvánítás szabadsága és a büntetőjogi tulajdonvédelem kollíziója komplex jogi dilemmát jelent, amely folyamatos jogalkotási és bírói feladatokat ad, különös figyelmmel az alapvető jogok védelmének és az igazságosság elvének érvényesítésére.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10391">
    <w:multiLevelType w:val="hybridMultilevel"/>
    <w:lvl w:ilvl="0" w:tplc="41004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10391">
    <w:abstractNumId w:val="52110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624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