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barbaravigh12@gmail.com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M. Adductor pollicis (AP) és M. Abductor digiti minimi (ADM) izomreakcióinak elektromiográfiás összehasonlítása neuromuscularis monitorozás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Neuromuszkuláris monitorozás, Elektromiográfia, Posztoperatív reziduális neuromuszkuláris blokk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Amennyiben az anesztézia során alkalmazott izomrelaxánsok hatása a műtét</w:t>
      </w:r>
      <w:r>
        <w:rPr>
          <w:color w:val="000000"/>
          <w:sz w:val="24"/>
          <w:szCs w:val="24"/>
        </w:rPr>
        <w:br/>
        <w:t xml:space="preserve">végeztével nem szűnik meg, posztoperatív reziduális neuromuszkuláris blokkról (PRNB)</w:t>
      </w:r>
      <w:r>
        <w:rPr>
          <w:color w:val="000000"/>
          <w:sz w:val="24"/>
          <w:szCs w:val="24"/>
        </w:rPr>
        <w:br/>
        <w:t xml:space="preserve">beszélünk, amely súlyos légúti szövődmények kialakulásához vezethet. A PRNB</w:t>
      </w:r>
      <w:r>
        <w:rPr>
          <w:color w:val="000000"/>
          <w:sz w:val="24"/>
          <w:szCs w:val="24"/>
        </w:rPr>
        <w:br/>
        <w:t xml:space="preserve">diagnosztizálása megbízhatóan, kvantitatív neuromuszkuláris monitorok (NMM)</w:t>
      </w:r>
      <w:r>
        <w:rPr>
          <w:color w:val="000000"/>
          <w:sz w:val="24"/>
          <w:szCs w:val="24"/>
        </w:rPr>
        <w:br/>
        <w:t xml:space="preserve">alkalmazásával lehetséges. A NMM-k objektíven mérik és numerikusan megjelenítik az</w:t>
      </w:r>
      <w:r>
        <w:rPr>
          <w:color w:val="000000"/>
          <w:sz w:val="24"/>
          <w:szCs w:val="24"/>
        </w:rPr>
        <w:br/>
        <w:t xml:space="preserve">izomrelaxáció mértékét, melyet az ulnaris ideg train-of-four (TOF) ingerlésével és a AP</w:t>
      </w:r>
      <w:r>
        <w:rPr>
          <w:color w:val="000000"/>
          <w:sz w:val="24"/>
          <w:szCs w:val="24"/>
        </w:rPr>
        <w:br/>
        <w:t xml:space="preserve">izom válaszának mérésével végzik. Többféle mérési pont lehetőségei közül az Európai</w:t>
      </w:r>
      <w:r>
        <w:rPr>
          <w:color w:val="000000"/>
          <w:sz w:val="24"/>
          <w:szCs w:val="24"/>
        </w:rPr>
        <w:br/>
        <w:t xml:space="preserve">Aneszteziológiai és Intenzív Terápiás Társaságának és az Amerikai Aneszteziológusok</w:t>
      </w:r>
      <w:r>
        <w:rPr>
          <w:color w:val="000000"/>
          <w:sz w:val="24"/>
          <w:szCs w:val="24"/>
        </w:rPr>
        <w:br/>
        <w:t xml:space="preserve">Társaságának irányelvei egyaránt az AP izmot javasolják az izomrelaxáció monitorozására.</w:t>
      </w:r>
      <w:r>
        <w:rPr>
          <w:color w:val="000000"/>
          <w:sz w:val="24"/>
          <w:szCs w:val="24"/>
        </w:rPr>
        <w:br/>
        <w:t xml:space="preserve">Számos klinikus azonban egy új, hordozható, az elektromiográfia (EMG) elvű NMM</w:t>
      </w:r>
      <w:r>
        <w:rPr>
          <w:color w:val="000000"/>
          <w:sz w:val="24"/>
          <w:szCs w:val="24"/>
        </w:rPr>
        <w:br/>
        <w:t xml:space="preserve">használatakor az ADM-izmot használja intraoperatív monitorozásra, mivel a rögzítő</w:t>
      </w:r>
      <w:r>
        <w:rPr>
          <w:color w:val="000000"/>
          <w:sz w:val="24"/>
          <w:szCs w:val="24"/>
        </w:rPr>
        <w:br/>
        <w:t xml:space="preserve">elektródák elhelyezése ezen izom mentén egyszerűbb és kevésbé valószínű, hogy az</w:t>
      </w:r>
      <w:r>
        <w:rPr>
          <w:color w:val="000000"/>
          <w:sz w:val="24"/>
          <w:szCs w:val="24"/>
        </w:rPr>
        <w:br/>
        <w:t xml:space="preserve">elektródák elmozdulnak a kéz esetleges mozgatása miatt a sebészeti beavatkozások során.</w:t>
      </w:r>
      <w:r>
        <w:rPr>
          <w:color w:val="000000"/>
          <w:sz w:val="24"/>
          <w:szCs w:val="24"/>
        </w:rPr>
        <w:br/>
        <w:t xml:space="preserve">Vizsgálatunk célja az EMG elvű TetraGraph NMM működésének összehasonlítása az AP,</w:t>
      </w:r>
      <w:r>
        <w:rPr>
          <w:color w:val="000000"/>
          <w:sz w:val="24"/>
          <w:szCs w:val="24"/>
        </w:rPr>
        <w:br/>
        <w:t xml:space="preserve">valamint az ADM izmokban.</w:t>
      </w:r>
      <w:r>
        <w:rPr>
          <w:color w:val="000000"/>
          <w:sz w:val="24"/>
          <w:szCs w:val="24"/>
        </w:rPr>
        <w:br/>
        <w:t xml:space="preserve">Módszer: Vizsgálatunkba 21, laparoscopos, elektív műtétre váró beteget vontunk be. A</w:t>
      </w:r>
      <w:r>
        <w:rPr>
          <w:color w:val="000000"/>
          <w:sz w:val="24"/>
          <w:szCs w:val="24"/>
        </w:rPr>
        <w:br/>
        <w:t xml:space="preserve">betegek karjaira a két NMM-t előzetes randomizációt követően helyeztük fel a megfelelő</w:t>
      </w:r>
      <w:r>
        <w:rPr>
          <w:color w:val="000000"/>
          <w:sz w:val="24"/>
          <w:szCs w:val="24"/>
        </w:rPr>
        <w:br/>
        <w:t xml:space="preserve">pozíciókba. A betegek BMI-ét és a kéz dominanciáját rögzítettük. Az izomrelaxáns beadását</w:t>
      </w:r>
      <w:r>
        <w:rPr>
          <w:color w:val="000000"/>
          <w:sz w:val="24"/>
          <w:szCs w:val="24"/>
        </w:rPr>
        <w:br/>
        <w:t xml:space="preserve">követően a teljes izomrelaxációig-, illetve a műtét végén a relaxációt függesztő szer</w:t>
      </w:r>
      <w:r>
        <w:rPr>
          <w:color w:val="000000"/>
          <w:sz w:val="24"/>
          <w:szCs w:val="24"/>
        </w:rPr>
        <w:br/>
        <w:t xml:space="preserve">beadásától, a teljes izomerő visszatérésig 20 mp-ként, párhuzamos méréseket végeztünk. A</w:t>
      </w:r>
      <w:r>
        <w:rPr>
          <w:color w:val="000000"/>
          <w:sz w:val="24"/>
          <w:szCs w:val="24"/>
        </w:rPr>
        <w:br/>
        <w:t xml:space="preserve">készülékekből kinyert adatokat TetraViewer software segítségével elemeztük.</w:t>
      </w:r>
      <w:r>
        <w:rPr>
          <w:color w:val="000000"/>
          <w:sz w:val="24"/>
          <w:szCs w:val="24"/>
        </w:rPr>
        <w:br/>
        <w:t xml:space="preserve">Eredmények: Az AP-re, illetve a ADM-re felhelyezett NMM-ből kinyert adatok alapján</w:t>
      </w:r>
      <w:r>
        <w:rPr>
          <w:color w:val="000000"/>
          <w:sz w:val="24"/>
          <w:szCs w:val="24"/>
        </w:rPr>
        <w:br/>
        <w:t xml:space="preserve">nem volt szignifikáns különbség az izomrelaxáns hatásának beállási idejében (4,1±3,16</w:t>
      </w:r>
      <w:r>
        <w:rPr>
          <w:color w:val="000000"/>
          <w:sz w:val="24"/>
          <w:szCs w:val="24"/>
        </w:rPr>
        <w:br/>
        <w:t xml:space="preserve">perc; 3,72±2,63 perc; p=0,15). Az izomrelaxáció felfüggesztése és a teljes izomerő</w:t>
      </w:r>
      <w:r>
        <w:rPr>
          <w:color w:val="000000"/>
          <w:sz w:val="24"/>
          <w:szCs w:val="24"/>
        </w:rPr>
        <w:br/>
        <w:t xml:space="preserve">visszatéréséig eltelt időben sem mutatkozott szignifikáns különbség (6,96±3,42 perc;</w:t>
      </w:r>
      <w:r>
        <w:rPr>
          <w:color w:val="000000"/>
          <w:sz w:val="24"/>
          <w:szCs w:val="24"/>
        </w:rPr>
        <w:br/>
        <w:t xml:space="preserve">7,59±4,05 perc; p=0,59). Sem a betegek súlya, sem a kéz dominanciája nem befolyásolta</w:t>
      </w:r>
      <w:r>
        <w:rPr>
          <w:color w:val="000000"/>
          <w:sz w:val="24"/>
          <w:szCs w:val="24"/>
        </w:rPr>
        <w:br/>
        <w:t xml:space="preserve">szignifikánsan a két kar mérési pontjaiból származó eredményeket.</w:t>
      </w:r>
      <w:r>
        <w:rPr>
          <w:color w:val="000000"/>
          <w:sz w:val="24"/>
          <w:szCs w:val="24"/>
        </w:rPr>
        <w:br/>
        <w:t xml:space="preserve">Összegzés: Eredményeink alapján az EMG alapú NMM-okkal hasonló biztonsággal</w:t>
      </w:r>
      <w:r>
        <w:rPr>
          <w:color w:val="000000"/>
          <w:sz w:val="24"/>
          <w:szCs w:val="24"/>
        </w:rPr>
        <w:br/>
        <w:t xml:space="preserve">monitorozhatjuk az izomrelaxációt az ADM izmon, mint a nemzetközi ajánlásokban</w:t>
      </w:r>
      <w:r>
        <w:rPr>
          <w:color w:val="000000"/>
          <w:sz w:val="24"/>
          <w:szCs w:val="24"/>
        </w:rPr>
        <w:br/>
        <w:t xml:space="preserve">szereplő AP izmon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86548">
    <w:multiLevelType w:val="hybridMultilevel"/>
    <w:lvl w:ilvl="0" w:tplc="36680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86548">
    <w:abstractNumId w:val="52086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159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