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QUANG BACH</w:t>
            </w:r>
          </w:p>
          <w:p w:rsidR="00C275A3" w:rsidRDefault="00CA6B74" w:rsidP="00C275A3">
            <w:pPr>
              <w:pStyle w:val="Hallgatokepzes"/>
            </w:pPr>
            <w:r w:rsidRPr="001067CD">
              <w:rPr>
                <w:i/>
              </w:rPr>
              <w:t>quangbachnguyen2000@gmail.com</w:t>
            </w:r>
            <w:r w:rsidRPr="001067CD">
              <w:rPr>
                <w:i/>
              </w:rPr>
              <w:br/>
            </w:r>
            <w:r w:rsidR="00A96AEC">
              <w:t>fogászat</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Bakó József</w:t>
            </w:r>
          </w:p>
          <w:p w:rsidR="00DB4822" w:rsidRDefault="00DB4822" w:rsidP="00BA6BAF">
            <w:pPr>
              <w:pStyle w:val="Konzulensektitulus"/>
            </w:pPr>
            <w:r w:rsidRPr="00DB4822">
              <w:t>egyetemi adjunktus, DE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PEG-DMA alapú 3D nyomtatható hidrogélek előállítása, és összehasonlító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PEG-DMA, 3D nyomtatható hidrogélek</w:t>
      </w:r>
      <w:r>
        <w:t xml:space="preserve"/>
      </w:r>
    </w:p>
    <w:p>
      <w:pPr>
        <w:widowControl w:val="on"/>
        <w:pBdr/>
        <w:spacing w:before="240" w:after="240" w:line="240" w:lineRule="auto"/>
        <w:ind w:left="0" w:right="0"/>
        <w:jc w:val="left"/>
      </w:pPr>
      <w:r>
        <w:rPr>
          <w:color w:val="000000"/>
          <w:sz w:val="24"/>
          <w:szCs w:val="24"/>
        </w:rPr>
        <w:t xml:space="preserve">The use of polyethylene glycol dimethacrylate (PEG-DMA) is extensive in tissue engineering due to its mechanical properties, lack of immunogenicity, recognized cytocompatibility, and ease of synthesis. In our study, PEG-DMA of 550 and 750 Da molecular weight polymer-based 3D printable bioink solutions were prepared in a double photoinitiator system including riboflavin (Rb)/triethanolamine (TEA) and water-soluble diphenyl(2,4,6-trimethylbenzoyl)phosphine oxide (wsTPO).</w:t>
      </w:r>
      <w:r>
        <w:rPr>
          <w:color w:val="000000"/>
          <w:sz w:val="24"/>
          <w:szCs w:val="24"/>
        </w:rPr>
        <w:br/>
        <w:t xml:space="preserve">The hydrogels were printed in cylindrical and dog-bone shape samples using Form2, a commercially available SLA 3D printer (Formlabs Inc., USA). The bioink solutions and their consecutive hydrogels were investigated by rheological parameters, compressive and tensile mechanical properties, water swelling, contact angle measurement, and FTIR analysis.</w:t>
      </w:r>
      <w:r>
        <w:rPr>
          <w:color w:val="000000"/>
          <w:sz w:val="24"/>
          <w:szCs w:val="24"/>
        </w:rPr>
        <w:br/>
        <w:t xml:space="preserve">The compressive Young’s modulus of elasticity was higher in PEG-DMA (Mw: 550) than in PEG-DMA (Mw: 750) (11.42 MPa &gt; 9.01 MPa). The tensile investigation showed that PEG-DMA (Mw: 550) could withstand more stress (0.52 MPa &gt; 0.18 MPa), and could not be stretched longer than PEG-DMA (Mw: 750) dog-bone shape samples (0.036 mm/mm &lt; 0.068 mm/mm). Both systems showed hydrophilic characteristics on the top surfaces of printed hydrogels with mean contact angles of 28.81° and 39.19° respectively. The water uptake ability of PEG-DMA (Mw: 750) was shown to be higher than PEG-DMA (Mw: 550) system, which could be explained by their difference in molecular weight chain and net point density. Fabricated bioinks of both systems were shown to be Newtonian fluid according to MCR Rheometer 102e (Anton Paar, Austria), and the polymerization reaction in these hydrogel samples has been confirmed using FTIR investigations.</w:t>
      </w:r>
      <w:r>
        <w:rPr>
          <w:color w:val="000000"/>
          <w:sz w:val="24"/>
          <w:szCs w:val="24"/>
        </w:rPr>
        <w:br/>
        <w:t xml:space="preserve">The results demonstrated that both PEG-DMA (Mw: 550 and 750) hydrogel systems were successfully printed using Rb/TEA and wsTPO photoinititor system with an SLA 3D printer, making it an important form of hydrophilic polymer for biomedical applications, as well as in the field of dentistry such as surface modification, bioconjugation, drug administration, tissue engineering, and periodontal regenerative surgery. These properties of the 3D-printed hydrogels make these promising candidates for these applications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90678">
    <w:multiLevelType w:val="hybridMultilevel"/>
    <w:lvl w:ilvl="0" w:tplc="75655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90678">
    <w:abstractNumId w:val="87190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881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