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szokecsenge40@gmail.com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Harangi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régió familiáris hiperkoleszterinémiás betegeinek jellemzői az FH regiszter adatai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familiáris hypercholesterinaemia; regiszter; alacsony sűrűségű lipoprotein koleszterin; lipidcsökkentő 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familiáris hiperkoleszterinémia (FH) egy monogénes formában öröklődő anyagcsere</w:t>
      </w:r>
      <w:r>
        <w:rPr>
          <w:color w:val="000000"/>
          <w:sz w:val="24"/>
          <w:szCs w:val="24"/>
        </w:rPr>
        <w:br/>
        <w:t xml:space="preserve">betegség, mely jelentősen emelkedett össz- és LDL-C szinttel jár és korai szív- és</w:t>
      </w:r>
      <w:r>
        <w:rPr>
          <w:color w:val="000000"/>
          <w:sz w:val="24"/>
          <w:szCs w:val="24"/>
        </w:rPr>
        <w:br/>
        <w:t xml:space="preserve">érrendszeri szövődmények kialakulásához vezet, így felismerése, az egyéb kockázati</w:t>
      </w:r>
      <w:r>
        <w:rPr>
          <w:color w:val="000000"/>
          <w:sz w:val="24"/>
          <w:szCs w:val="24"/>
        </w:rPr>
        <w:br/>
        <w:t xml:space="preserve">tényezők azonosítása, és a korai, hatékony lipidcsökkentő kezelés alkalmazása kiemelten</w:t>
      </w:r>
      <w:r>
        <w:rPr>
          <w:color w:val="000000"/>
          <w:sz w:val="24"/>
          <w:szCs w:val="24"/>
        </w:rPr>
        <w:br/>
        <w:t xml:space="preserve">fontos feladat. Ezért célul tűztük ki az FH regiszter regionális adatainak feldolgozását.</w:t>
      </w:r>
      <w:r>
        <w:rPr>
          <w:color w:val="000000"/>
          <w:sz w:val="24"/>
          <w:szCs w:val="24"/>
        </w:rPr>
        <w:br/>
        <w:t xml:space="preserve">Betegek és módszerek</w:t>
      </w:r>
      <w:r>
        <w:rPr>
          <w:color w:val="000000"/>
          <w:sz w:val="24"/>
          <w:szCs w:val="24"/>
        </w:rPr>
        <w:br/>
        <w:t xml:space="preserve">192 heterozigóta FH-s beteg adatait elemeztük. Az anamnesztikus adatok, a fizikális</w:t>
      </w:r>
      <w:r>
        <w:rPr>
          <w:color w:val="000000"/>
          <w:sz w:val="24"/>
          <w:szCs w:val="24"/>
        </w:rPr>
        <w:br/>
        <w:t xml:space="preserve">vizsgálat, a laboratóriumi paraméterek és a genetikai vizsgálat eredményei mellett az</w:t>
      </w:r>
      <w:r>
        <w:rPr>
          <w:color w:val="000000"/>
          <w:sz w:val="24"/>
          <w:szCs w:val="24"/>
        </w:rPr>
        <w:br/>
        <w:t xml:space="preserve">alkalmazott kezelés hatására elért lipid értékek összesítését végeztük el részben a regiszter</w:t>
      </w:r>
      <w:r>
        <w:rPr>
          <w:color w:val="000000"/>
          <w:sz w:val="24"/>
          <w:szCs w:val="24"/>
        </w:rPr>
        <w:br/>
        <w:t xml:space="preserve">adatai, részben az UDMed adatbázisa alapján. Az FH diagnózisának felállításhoz a Dutch</w:t>
      </w:r>
      <w:r>
        <w:rPr>
          <w:color w:val="000000"/>
          <w:sz w:val="24"/>
          <w:szCs w:val="24"/>
        </w:rPr>
        <w:br/>
        <w:t xml:space="preserve">Lipid Clinic Network (DLCN) kritériumrendszert alkalmaztuk. A statisztikai elemzést a</w:t>
      </w:r>
      <w:r>
        <w:rPr>
          <w:color w:val="000000"/>
          <w:sz w:val="24"/>
          <w:szCs w:val="24"/>
        </w:rPr>
        <w:br/>
        <w:t xml:space="preserve">Statistica 13.5.0.17 szoftver segítségével végeztük.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140 nő (72,9%) és 52 férfi (27,1%) életkora 49,4±15,7 év, a BMI 25,8±4,5 kg/m2 volt a</w:t>
      </w:r>
      <w:r>
        <w:rPr>
          <w:color w:val="000000"/>
          <w:sz w:val="24"/>
          <w:szCs w:val="24"/>
        </w:rPr>
        <w:br/>
        <w:t xml:space="preserve">bevonáskor. A családi anamnézisben 33 esetben szerepelt korai kardiovaszkuláris esemény</w:t>
      </w:r>
      <w:r>
        <w:rPr>
          <w:color w:val="000000"/>
          <w:sz w:val="24"/>
          <w:szCs w:val="24"/>
        </w:rPr>
        <w:br/>
        <w:t xml:space="preserve">(17,2%), 86 esetben hiperkoleszterinémia (44.8%) és 63 esetben késői vagy ismeretlen idejű</w:t>
      </w:r>
      <w:r>
        <w:rPr>
          <w:color w:val="000000"/>
          <w:sz w:val="24"/>
          <w:szCs w:val="24"/>
        </w:rPr>
        <w:br/>
        <w:t xml:space="preserve">kardiovaszkuláris esemény (32,8%). A betegek anamnézisében 74 esetben szerepelt</w:t>
      </w:r>
      <w:r>
        <w:rPr>
          <w:color w:val="000000"/>
          <w:sz w:val="24"/>
          <w:szCs w:val="24"/>
        </w:rPr>
        <w:br/>
        <w:t xml:space="preserve">hipertónia (38,5%), 4 esetben diabetes mellitus (2,1%), 23 esetben dohányzás (12%). 2-2</w:t>
      </w:r>
      <w:r>
        <w:rPr>
          <w:color w:val="000000"/>
          <w:sz w:val="24"/>
          <w:szCs w:val="24"/>
        </w:rPr>
        <w:br/>
        <w:t xml:space="preserve">betegnél tendon xanthoma ill. arcus corneae (1-1%), 8 betegnél xanthelasma (4,2%) került</w:t>
      </w:r>
      <w:r>
        <w:rPr>
          <w:color w:val="000000"/>
          <w:sz w:val="24"/>
          <w:szCs w:val="24"/>
        </w:rPr>
        <w:br/>
        <w:t xml:space="preserve">leírásra. A diagnózis felállításakor az összkoleszterinszint 8,92±2,71 mmol/L, az LDL-C</w:t>
      </w:r>
      <w:r>
        <w:rPr>
          <w:color w:val="000000"/>
          <w:sz w:val="24"/>
          <w:szCs w:val="24"/>
        </w:rPr>
        <w:br/>
        <w:t xml:space="preserve">szint 6,04±1,9 mmol/L, az ApoB100 szint 1,7±0,6 g/L volt. 53 esetben (27,6%) a genetikai</w:t>
      </w:r>
      <w:r>
        <w:rPr>
          <w:color w:val="000000"/>
          <w:sz w:val="24"/>
          <w:szCs w:val="24"/>
        </w:rPr>
        <w:br/>
        <w:t xml:space="preserve">vizsgálat alátámasztotta az FH diagnózisát, 1 esetben összetett heterozigóta, 52 esetben</w:t>
      </w:r>
      <w:r>
        <w:rPr>
          <w:color w:val="000000"/>
          <w:sz w:val="24"/>
          <w:szCs w:val="24"/>
        </w:rPr>
        <w:br/>
        <w:t xml:space="preserve">heterozigóta FH igazolódott. 110 beteg (57,3%) részesül statin, 80 (41,7%) ezetimib, 26</w:t>
      </w:r>
      <w:r>
        <w:rPr>
          <w:color w:val="000000"/>
          <w:sz w:val="24"/>
          <w:szCs w:val="24"/>
        </w:rPr>
        <w:br/>
        <w:t xml:space="preserve">(13,5%) pedig PCSK9 gátló kezelésben. 45 beteg (23,4%) igazolt statin intoleráns. A</w:t>
      </w:r>
      <w:r>
        <w:rPr>
          <w:color w:val="000000"/>
          <w:sz w:val="24"/>
          <w:szCs w:val="24"/>
        </w:rPr>
        <w:br/>
        <w:t xml:space="preserve">kezelés mellett elért összkoleszterinszint 5,86±2,15 mmol/L (-34,3%), az LDL-C 3,42±1,69</w:t>
      </w:r>
      <w:r>
        <w:rPr>
          <w:color w:val="000000"/>
          <w:sz w:val="24"/>
          <w:szCs w:val="24"/>
        </w:rPr>
        <w:br/>
        <w:t xml:space="preserve">(-43,4%) mmol/L, az ApoB100 1,22±0,48 g/L (-28,2%).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régióban diagnosztizált heterozigóta FH-s betegek száma jelentősen elmarad a</w:t>
      </w:r>
      <w:r>
        <w:rPr>
          <w:color w:val="000000"/>
          <w:sz w:val="24"/>
          <w:szCs w:val="24"/>
        </w:rPr>
        <w:br/>
        <w:t xml:space="preserve">prevalencia adatok alapján becsült betegszámtól. A társbetegségek előfordulási aránya az</w:t>
      </w:r>
      <w:r>
        <w:rPr>
          <w:color w:val="000000"/>
          <w:sz w:val="24"/>
          <w:szCs w:val="24"/>
        </w:rPr>
        <w:br/>
        <w:t xml:space="preserve">irodalmi adatoknak megfelel. Részben a statin intolerancia gyakori előfordulása, részben a</w:t>
      </w:r>
      <w:r>
        <w:rPr>
          <w:color w:val="000000"/>
          <w:sz w:val="24"/>
          <w:szCs w:val="24"/>
        </w:rPr>
        <w:br/>
        <w:t xml:space="preserve">finanszírozási korlátok miatt a korszerű kombinált lipidcsökkentő kezelés gyakran elmarad,</w:t>
      </w:r>
      <w:r>
        <w:rPr>
          <w:color w:val="000000"/>
          <w:sz w:val="24"/>
          <w:szCs w:val="24"/>
        </w:rPr>
        <w:br/>
        <w:t xml:space="preserve">ennek megfelelően az LDL-C célérték elérése sem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85399">
    <w:multiLevelType w:val="hybridMultilevel"/>
    <w:lvl w:ilvl="0" w:tplc="83079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85399">
    <w:abstractNumId w:val="278853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288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