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ALHAMAN FARAH</w:t>
            </w:r>
          </w:p>
          <w:p w:rsidR="00C275A3" w:rsidRDefault="00CA6B74" w:rsidP="00C275A3">
            <w:pPr>
              <w:pStyle w:val="Hallgatokepzes"/>
            </w:pPr>
            <w:r w:rsidRPr="001067CD">
              <w:rPr>
                <w:i/>
              </w:rPr>
              <w:t>farah-al-hamman@hotmail.com</w:t>
            </w:r>
            <w:r w:rsidRPr="001067CD">
              <w:rPr>
                <w:i/>
              </w:rPr>
              <w:br/>
            </w:r>
            <w:r w:rsidR="00A96AEC">
              <w:t>molekuláris biológia MSc</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Szeles Lajos</w:t>
            </w:r>
          </w:p>
          <w:p w:rsidR="00DB4822" w:rsidRDefault="00DB4822" w:rsidP="00BA6BAF">
            <w:pPr>
              <w:pStyle w:val="Konzulensektitulus"/>
            </w:pPr>
            <w:r w:rsidRPr="00DB4822">
              <w:t>egyetemi docens,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RAR- és VDR-agonisták által közösen szabályozott gének mRNS-expressziójának elemzése differenciált THP-1 sejtekben.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Transcriptomics; Functional Genomics; qPCR ; Differential gene expression</w:t>
      </w:r>
      <w:r>
        <w:t xml:space="preserve"/>
      </w:r>
    </w:p>
    <w:p>
      <w:pPr>
        <w:widowControl w:val="on"/>
        <w:pBdr/>
        <w:spacing w:before="240" w:after="240" w:line="240" w:lineRule="auto"/>
        <w:ind w:left="0" w:right="0"/>
        <w:jc w:val="left"/>
      </w:pPr>
      <w:r>
        <w:rPr>
          <w:color w:val="000000"/>
          <w:sz w:val="24"/>
          <w:szCs w:val="24"/>
        </w:rPr>
        <w:t xml:space="preserve">Background: Retinoic acid receptors (RARs) and vitamin D receptor (VDR) are nuclear receptors that form heterodimers with RXR and regulate the expression of multiple genes. Thus, many genes are regulated by both RAR and VDR agonists (e.g. AM850 and 1α,25dihydroxyvitamin D3, respectively) in multiple cell types. Their combined treatment, particularly in cancer therapies, produces beneficial and additive effects. Among the regulated genes are primary target genes, which are directly regulated by the activated receptors. These genes are activated shortly after treatment (within a few hours) and do not require the synthesis of novel proteins for their induction Aim: This study seeks to examine genes regulated by both AM850 (RARα specific agonist) and 1α,25-dihydroxyvitamin D3 (VDR agonist) in differentiated THP-1 cells focusing on mRNA induction kinetics and additive effects on gene activation Methods: Using previous RNA-seq data (THP-1 cells were stimulated with RARα and VDR agonists) we identified three gene sets based on fold induction, specificity and significance. We selected representative genes for each set (DHRS3 and PTGES for RAR-specific, TGM2, HBEGF, and FBP1 for common, CLMN and CAMP for VDR-specific) and designed qPCR primers for them via NCBI primer designing tool for subsequent analyses. For gene expression analyses, we cultured THP1 cells in supplemented RPMI-1640 and induced THP1 differentiation into macrophages by PMA treatment. Following a 16-hour incubation, we treated the cells with vehicle (DMSO: Ethanol), 100 nM AM580, 100 nM 1α,25-dihydroxyvitamin D3 or a combination of both for 6 hours. For qPCR measurements, we extracted total RNA, synthesized cDNA and performed RT-qPCR using Cobas PCR instrument (Roche). Results: From our analysis, we found that commonly regulated genes were induced by both agonists within 2-3 hours. We confirmed the specificity of gene activation at earlier time points, ruling out the transient regulation by the other agonist. Conclusion: RT-qPCR results confirmed the RNA-seq data, verifying the shared upregulation of specific genes by both VDR and RAR agonists. Combined treatment showed increased induction, indicating collaborative genomic effects of RAR and VDR. The analysis revealed additive effects on transcription in some genes and antagonistic effects in others. In our ongoing study, we aim to investigate whether RAR and VDR regulate the expression of the common genes by binding to the same enhancers.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02156">
    <w:multiLevelType w:val="hybridMultilevel"/>
    <w:lvl w:ilvl="0" w:tplc="14061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02156">
    <w:abstractNumId w:val="536021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2877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