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NINAN RACHAEL SUZANNE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rachael.ninan@gmail.com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Bedekovics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Kóros vimentin és hiszton H3 p.K27me3 immunohisztokémiai expresszió, mint potenciális marker az 1p/19q-kodeléció azonosítására felnőttkori diffúz gliómákban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oligodendroglioma; astrocytoma; 1p/19q-kodeléció; vimentin; hiszton H3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Oligodendrogliomas and astrocytomas are diffuse-type gliomas of adulthood with</w:t>
      </w:r>
      <w:r>
        <w:rPr>
          <w:color w:val="000000"/>
          <w:sz w:val="24"/>
          <w:szCs w:val="24"/>
        </w:rPr>
        <w:br/>
        <w:t xml:space="preserve">overlapping molecular and histological features. The presence of IDH mutation is an</w:t>
      </w:r>
      <w:r>
        <w:rPr>
          <w:color w:val="000000"/>
          <w:sz w:val="24"/>
          <w:szCs w:val="24"/>
        </w:rPr>
        <w:br/>
        <w:t xml:space="preserve">essential diagnostic criterion for both tumors. The detection of 1p/19q-codeletion is used to</w:t>
      </w:r>
      <w:r>
        <w:rPr>
          <w:color w:val="000000"/>
          <w:sz w:val="24"/>
          <w:szCs w:val="24"/>
        </w:rPr>
        <w:br/>
        <w:t xml:space="preserve">differentiate between these tumors. Molecular tests are generally less accessible and more</w:t>
      </w:r>
      <w:r>
        <w:rPr>
          <w:color w:val="000000"/>
          <w:sz w:val="24"/>
          <w:szCs w:val="24"/>
        </w:rPr>
        <w:br/>
        <w:t xml:space="preserve">expensive with a longer turn-around time compared to immunohistochemical tests. The</w:t>
      </w:r>
      <w:r>
        <w:rPr>
          <w:color w:val="000000"/>
          <w:sz w:val="24"/>
          <w:szCs w:val="24"/>
        </w:rPr>
        <w:br/>
        <w:t xml:space="preserve">latter may serve as an alternative marker for molecular alterations.</w:t>
      </w:r>
      <w:r>
        <w:rPr>
          <w:color w:val="000000"/>
          <w:sz w:val="24"/>
          <w:szCs w:val="24"/>
        </w:rPr>
        <w:br/>
        <w:t xml:space="preserve">The aim was to determine if vimentin and histone H3 p.K27me3 (H3me3)</w:t>
      </w:r>
      <w:r>
        <w:rPr>
          <w:color w:val="000000"/>
          <w:sz w:val="24"/>
          <w:szCs w:val="24"/>
        </w:rPr>
        <w:br/>
        <w:t xml:space="preserve">immunohistochemical stains can be used as surrogate markers instead of 1p/19q-codeletion</w:t>
      </w:r>
      <w:r>
        <w:rPr>
          <w:color w:val="000000"/>
          <w:sz w:val="24"/>
          <w:szCs w:val="24"/>
        </w:rPr>
        <w:br/>
        <w:t xml:space="preserve">to differentiate between oligodendrogliomas and astrocytomas and to examine the</w:t>
      </w:r>
      <w:r>
        <w:rPr>
          <w:color w:val="000000"/>
          <w:sz w:val="24"/>
          <w:szCs w:val="24"/>
        </w:rPr>
        <w:br/>
        <w:t xml:space="preserve">correlation between these markers and different histological parameters.</w:t>
      </w:r>
      <w:r>
        <w:rPr>
          <w:color w:val="000000"/>
          <w:sz w:val="24"/>
          <w:szCs w:val="24"/>
        </w:rPr>
        <w:br/>
        <w:t xml:space="preserve">Totally, 43 tissue blocks from adult patients with IDH-mutant diffuse gliomas from the</w:t>
      </w:r>
      <w:r>
        <w:rPr>
          <w:color w:val="000000"/>
          <w:sz w:val="24"/>
          <w:szCs w:val="24"/>
        </w:rPr>
        <w:br/>
        <w:t xml:space="preserve">Department of Pathology, University of Debrecen were analyzed in this retrospective study.</w:t>
      </w:r>
      <w:r>
        <w:rPr>
          <w:color w:val="000000"/>
          <w:sz w:val="24"/>
          <w:szCs w:val="24"/>
        </w:rPr>
        <w:br/>
        <w:t xml:space="preserve">Cases were categorized into two cohorts based on 1p/19q-codeletion status:</w:t>
      </w:r>
      <w:r>
        <w:rPr>
          <w:color w:val="000000"/>
          <w:sz w:val="24"/>
          <w:szCs w:val="24"/>
        </w:rPr>
        <w:br/>
        <w:t xml:space="preserve">oligodendrogliomas (25 cases) and astrocytomas (18 cases). Vimentin (clone: V9, Leica</w:t>
      </w:r>
      <w:r>
        <w:rPr>
          <w:color w:val="000000"/>
          <w:sz w:val="24"/>
          <w:szCs w:val="24"/>
        </w:rPr>
        <w:br/>
        <w:t xml:space="preserve">Byosystems) and histone H3 p.K27me3 (clone: EPR18607, Abcam) immunohistochemical</w:t>
      </w:r>
      <w:r>
        <w:rPr>
          <w:color w:val="000000"/>
          <w:sz w:val="24"/>
          <w:szCs w:val="24"/>
        </w:rPr>
        <w:br/>
        <w:t xml:space="preserve">stains were performed according to the manufacturing instructions. The percentage of</w:t>
      </w:r>
      <w:r>
        <w:rPr>
          <w:color w:val="000000"/>
          <w:sz w:val="24"/>
          <w:szCs w:val="24"/>
        </w:rPr>
        <w:br/>
        <w:t xml:space="preserve">positive tumor cells for H3me3 and percentage of positive tumor area for vimentin were</w:t>
      </w:r>
      <w:r>
        <w:rPr>
          <w:color w:val="000000"/>
          <w:sz w:val="24"/>
          <w:szCs w:val="24"/>
        </w:rPr>
        <w:br/>
        <w:t xml:space="preserve">then estimated. Vimentin and H3me3 expression were correlated with 1p/19q status and</w:t>
      </w:r>
      <w:r>
        <w:rPr>
          <w:color w:val="000000"/>
          <w:sz w:val="24"/>
          <w:szCs w:val="24"/>
        </w:rPr>
        <w:br/>
        <w:t xml:space="preserve">conventional histological parameters including plexiform vessels, perinuclear halo,</w:t>
      </w:r>
      <w:r>
        <w:rPr>
          <w:color w:val="000000"/>
          <w:sz w:val="24"/>
          <w:szCs w:val="24"/>
        </w:rPr>
        <w:br/>
        <w:t xml:space="preserve">calcification, microcystic area, gemistocytic and minigemistocytic appearance, mitosis</w:t>
      </w:r>
      <w:r>
        <w:rPr>
          <w:color w:val="000000"/>
          <w:sz w:val="24"/>
          <w:szCs w:val="24"/>
        </w:rPr>
        <w:br/>
        <w:t xml:space="preserve">index, grade and p53 expression.</w:t>
      </w:r>
      <w:r>
        <w:rPr>
          <w:color w:val="000000"/>
          <w:sz w:val="24"/>
          <w:szCs w:val="24"/>
        </w:rPr>
        <w:br/>
        <w:t xml:space="preserve">The percentage of H3me3 positive tumor cells was significantly higher in astrocytomas</w:t>
      </w:r>
      <w:r>
        <w:rPr>
          <w:color w:val="000000"/>
          <w:sz w:val="24"/>
          <w:szCs w:val="24"/>
        </w:rPr>
        <w:br/>
        <w:t xml:space="preserve">comparing with oligodendrogliomas (mean 77.78% vs 13.75%, p&lt;0.0001, Mann-Whitney</w:t>
      </w:r>
      <w:r>
        <w:rPr>
          <w:color w:val="000000"/>
          <w:sz w:val="24"/>
          <w:szCs w:val="24"/>
        </w:rPr>
        <w:br/>
        <w:t xml:space="preserve">test). The percentage of vimentin positive area was significantly larger in astrocytomas</w:t>
      </w:r>
      <w:r>
        <w:rPr>
          <w:color w:val="000000"/>
          <w:sz w:val="24"/>
          <w:szCs w:val="24"/>
        </w:rPr>
        <w:br/>
        <w:t xml:space="preserve">comparing with oligodendrogliomas (mean 80% vs 13%, p&lt;0.0001, Mann-Whitney test).</w:t>
      </w:r>
      <w:r>
        <w:rPr>
          <w:color w:val="000000"/>
          <w:sz w:val="24"/>
          <w:szCs w:val="24"/>
        </w:rPr>
        <w:br/>
        <w:t xml:space="preserve">The loss of vimentin and H3me3 expression showed significant correlation with the</w:t>
      </w:r>
      <w:r>
        <w:rPr>
          <w:color w:val="000000"/>
          <w:sz w:val="24"/>
          <w:szCs w:val="24"/>
        </w:rPr>
        <w:br/>
        <w:t xml:space="preserve">presence of 1p/19q-codeletion (pplexiform vessels and gemistocytic morphology showed significant positive or negative</w:t>
      </w:r>
      <w:r>
        <w:rPr>
          <w:color w:val="000000"/>
          <w:sz w:val="24"/>
          <w:szCs w:val="24"/>
        </w:rPr>
        <w:br/>
        <w:t xml:space="preserve">correlation with both vimentin and H3me3 expression.</w:t>
      </w:r>
      <w:r>
        <w:rPr>
          <w:color w:val="000000"/>
          <w:sz w:val="24"/>
          <w:szCs w:val="24"/>
        </w:rPr>
        <w:br/>
        <w:t xml:space="preserve">Vimentin and H3me3 immunohistochemical stains serve as potential surrogate markers for</w:t>
      </w:r>
      <w:r>
        <w:rPr>
          <w:color w:val="000000"/>
          <w:sz w:val="24"/>
          <w:szCs w:val="24"/>
        </w:rPr>
        <w:br/>
        <w:t xml:space="preserve">the differential diagnosis of oligodendrogliomas and astrocytomas.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85257">
    <w:multiLevelType w:val="hybridMultilevel"/>
    <w:lvl w:ilvl="0" w:tplc="83476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85257">
    <w:abstractNumId w:val="79085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053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