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VERESS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fanniveress14@gmail.com</w:t>
            </w:r>
            <w:r w:rsidRPr="001067CD">
              <w:rPr>
                <w:i/>
              </w:rPr>
              <w:br/>
            </w:r>
            <w:r w:rsidR="00A96AEC">
              <w:t>Orvosi Diagnosztikai Analitika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Tircsó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Váradi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 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Fluortartalmú ligandumok Mn(II)-komplexeinek koordinációs kémiai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Mágneses rezonanciás képalkotás; Mn(II)-alapú kontrasztanyagok; stabilitás; inertség; relaxációs 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Mágneses Rezonanciás Képalkotás (MRI) korunk egyik legmeghatározóbb orvos</w:t>
      </w:r>
      <w:r>
        <w:rPr>
          <w:color w:val="000000"/>
          <w:sz w:val="24"/>
          <w:szCs w:val="24"/>
        </w:rPr>
        <w:br/>
        <w:t xml:space="preserve">diagnosztikai eljárása, mellyel a szervezet nem invazív vizsgálata szignifikánsan fejlődött.</w:t>
      </w:r>
      <w:r>
        <w:rPr>
          <w:color w:val="000000"/>
          <w:sz w:val="24"/>
          <w:szCs w:val="24"/>
        </w:rPr>
        <w:br/>
        <w:t xml:space="preserve">Az elmúlt években az intelligens kontrasztanyagok fejlesztése egyre nagyobb szerepet</w:t>
      </w:r>
      <w:r>
        <w:rPr>
          <w:color w:val="000000"/>
          <w:sz w:val="24"/>
          <w:szCs w:val="24"/>
        </w:rPr>
        <w:br/>
        <w:t xml:space="preserve">kapott a kontrasztanyag kutatás területén. Az intelligens kontrasztanyagok képesek</w:t>
      </w:r>
      <w:r>
        <w:rPr>
          <w:color w:val="000000"/>
          <w:sz w:val="24"/>
          <w:szCs w:val="24"/>
        </w:rPr>
        <w:br/>
        <w:t xml:space="preserve">érzékelni és reagálni a környezetükben zajló biológiai és kémiai folyamatokra.</w:t>
      </w:r>
      <w:r>
        <w:rPr>
          <w:color w:val="000000"/>
          <w:sz w:val="24"/>
          <w:szCs w:val="24"/>
        </w:rPr>
        <w:br/>
        <w:t xml:space="preserve">Segítségükkel pontosabb és specifikusabb képet kapunk a szervezetben zajló folyamatokról,</w:t>
      </w:r>
      <w:r>
        <w:rPr>
          <w:color w:val="000000"/>
          <w:sz w:val="24"/>
          <w:szCs w:val="24"/>
        </w:rPr>
        <w:br/>
        <w:t xml:space="preserve">pl. a sejtek aktivitásáról, így a tumorok lokalizálásában nagy szerepük van. A Gd(III)-ion</w:t>
      </w:r>
      <w:r>
        <w:rPr>
          <w:color w:val="000000"/>
          <w:sz w:val="24"/>
          <w:szCs w:val="24"/>
        </w:rPr>
        <w:br/>
        <w:t xml:space="preserve">alapú kontrasztanyagok által okozott káros hatások, mint a gadolínium lerakódás vagy a</w:t>
      </w:r>
      <w:r>
        <w:rPr>
          <w:color w:val="000000"/>
          <w:sz w:val="24"/>
          <w:szCs w:val="24"/>
        </w:rPr>
        <w:br/>
        <w:t xml:space="preserve">nefrogén szisztémás fibrózis (NSF) miatt, intenzív kutatások indultak el új kontrasztnövelő</w:t>
      </w:r>
      <w:r>
        <w:rPr>
          <w:color w:val="000000"/>
          <w:sz w:val="24"/>
          <w:szCs w:val="24"/>
        </w:rPr>
        <w:br/>
        <w:t xml:space="preserve">anyagok kifejlesztése céljából. Ezen kutatáshoz kapcsolódva célunk a termodinamikailag</w:t>
      </w:r>
      <w:r>
        <w:rPr>
          <w:color w:val="000000"/>
          <w:sz w:val="24"/>
          <w:szCs w:val="24"/>
        </w:rPr>
        <w:br/>
        <w:t xml:space="preserve">stabil, kinetikailag inert, a pH változásra reagáló, Mn(II)-ra, mint esszenciális paramágneses</w:t>
      </w:r>
      <w:r>
        <w:rPr>
          <w:color w:val="000000"/>
          <w:sz w:val="24"/>
          <w:szCs w:val="24"/>
        </w:rPr>
        <w:br/>
        <w:t xml:space="preserve">fémionra alapozó pH-érzékeny kontrasztanyag-jelölt előállítása és jellemzése volt. A</w:t>
      </w:r>
      <w:r>
        <w:rPr>
          <w:color w:val="000000"/>
          <w:sz w:val="24"/>
          <w:szCs w:val="24"/>
        </w:rPr>
        <w:br/>
        <w:t xml:space="preserve">Mn(II)-komplexálásra alkalmas ligandumot úgy terveztük meg, hogy a szerkezetében Fatomokat is tartalmazzon, így a megszokott 1H-MRI képalkotás mellett, a 19F-MRI</w:t>
      </w:r>
      <w:r>
        <w:rPr>
          <w:color w:val="000000"/>
          <w:sz w:val="24"/>
          <w:szCs w:val="24"/>
        </w:rPr>
        <w:br/>
        <w:t xml:space="preserve">képalkotásra is alkalmas legyen.</w:t>
      </w:r>
      <w:r>
        <w:rPr>
          <w:color w:val="000000"/>
          <w:sz w:val="24"/>
          <w:szCs w:val="24"/>
        </w:rPr>
        <w:br/>
        <w:t xml:space="preserve">A PC2PA-EA-TFSA komplexképző előállítása és jellemzése után az egyensúlyi</w:t>
      </w:r>
      <w:r>
        <w:rPr>
          <w:color w:val="000000"/>
          <w:sz w:val="24"/>
          <w:szCs w:val="24"/>
        </w:rPr>
        <w:br/>
        <w:t xml:space="preserve">paraméterek meghatározására pH-potenciometriás módszert használtunk. Meghatároztuk a</w:t>
      </w:r>
      <w:r>
        <w:rPr>
          <w:color w:val="000000"/>
          <w:sz w:val="24"/>
          <w:szCs w:val="24"/>
        </w:rPr>
        <w:br/>
        <w:t xml:space="preserve">Mn(II)-komplex stabilitását (logKMnL=17,30 és pMn=8,63), ami kiugróan nagy értéknek</w:t>
      </w:r>
      <w:r>
        <w:rPr>
          <w:color w:val="000000"/>
          <w:sz w:val="24"/>
          <w:szCs w:val="24"/>
        </w:rPr>
        <w:br/>
        <w:t xml:space="preserve">adódott. A PC2PA-EA-TFSA ligandum szulfonamidcsoportjának a protonálódási állandója</w:t>
      </w:r>
      <w:r>
        <w:rPr>
          <w:color w:val="000000"/>
          <w:sz w:val="24"/>
          <w:szCs w:val="24"/>
        </w:rPr>
        <w:br/>
        <w:t xml:space="preserve">pK=9,47, ami a Mn(II)-komplex esetében pK=8,23-ra csökkent. Relaxometriás</w:t>
      </w:r>
      <w:r>
        <w:rPr>
          <w:color w:val="000000"/>
          <w:sz w:val="24"/>
          <w:szCs w:val="24"/>
        </w:rPr>
        <w:br/>
        <w:t xml:space="preserve">vizsgálataink alapján ezen pH felett a komplex nem tartalmaz a fémionhoz koordinálódó</w:t>
      </w:r>
      <w:r>
        <w:rPr>
          <w:color w:val="000000"/>
          <w:sz w:val="24"/>
          <w:szCs w:val="24"/>
        </w:rPr>
        <w:br/>
        <w:t xml:space="preserve">vízmolekulát, míg alatta a protonált komplexben ez megjelenik, amire a relaxivitás adatok</w:t>
      </w:r>
      <w:r>
        <w:rPr>
          <w:color w:val="000000"/>
          <w:sz w:val="24"/>
          <w:szCs w:val="24"/>
        </w:rPr>
        <w:br/>
        <w:t xml:space="preserve">alapján következtetünk. Azonban a komplex-protonálódási állandója távol esik a fiziológiás</w:t>
      </w:r>
      <w:r>
        <w:rPr>
          <w:color w:val="000000"/>
          <w:sz w:val="24"/>
          <w:szCs w:val="24"/>
        </w:rPr>
        <w:br/>
        <w:t xml:space="preserve">pH-tartománytól, így teszteltük azt is, hogy a Gd(III)-komplex esetében hogy alakul ez az</w:t>
      </w:r>
      <w:r>
        <w:rPr>
          <w:color w:val="000000"/>
          <w:sz w:val="24"/>
          <w:szCs w:val="24"/>
        </w:rPr>
        <w:br/>
        <w:t xml:space="preserve">állandó. Ezen vizsgálat alapján (pK=7,29) a [Gd(PC2PA-EA-TFSA)]-komplex potenciális</w:t>
      </w:r>
      <w:r>
        <w:rPr>
          <w:color w:val="000000"/>
          <w:sz w:val="24"/>
          <w:szCs w:val="24"/>
        </w:rPr>
        <w:br/>
        <w:t xml:space="preserve">pH-érzékeny bimodális kontrasztanyag-jelöltnek tekinthető.</w:t>
      </w:r>
      <w:r>
        <w:rPr>
          <w:color w:val="000000"/>
          <w:sz w:val="24"/>
          <w:szCs w:val="24"/>
        </w:rPr>
        <w:br/>
        <w:t xml:space="preserve">A [Mn(PC2PA-EA-TFSA)]-komplex inertségéről 1H relaxometriás módszerrel Zn(II)-vel</w:t>
      </w:r>
      <w:r>
        <w:rPr>
          <w:color w:val="000000"/>
          <w:sz w:val="24"/>
          <w:szCs w:val="24"/>
        </w:rPr>
        <w:br/>
        <w:t xml:space="preserve">lejátszódó cserereakciók elemzésével gyűjtöttünk adatokat 25 és 37°C-on pH=6,0-nál. A</w:t>
      </w:r>
      <w:r>
        <w:rPr>
          <w:color w:val="000000"/>
          <w:sz w:val="24"/>
          <w:szCs w:val="24"/>
        </w:rPr>
        <w:br/>
        <w:t xml:space="preserve">felezési idő 25°C-on 37,94 óra volt, míg 37°C-on 13,37 órára csökkent, amely messze</w:t>
      </w:r>
      <w:r>
        <w:rPr>
          <w:color w:val="000000"/>
          <w:sz w:val="24"/>
          <w:szCs w:val="24"/>
        </w:rPr>
        <w:br/>
        <w:t xml:space="preserve">meghaladja a klinikai próbák alatt álló [Mn(PyC3A)]-kelátra mért közel fél órás felezési</w:t>
      </w:r>
      <w:r>
        <w:rPr>
          <w:color w:val="000000"/>
          <w:sz w:val="24"/>
          <w:szCs w:val="24"/>
        </w:rPr>
        <w:br/>
        <w:t xml:space="preserve">időt.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34550">
    <w:multiLevelType w:val="hybridMultilevel"/>
    <w:lvl w:ilvl="0" w:tplc="88127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34550">
    <w:abstractNumId w:val="348345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171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