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molnar.anna92@gmail.com</w:t>
            </w:r>
            <w:r w:rsidRPr="001067CD">
              <w:rPr>
                <w:i/>
              </w:rPr>
              <w:br/>
            </w:r>
            <w:r w:rsidR="00A96AEC">
              <w:t>Egészségpszichológia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Bianka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szomatoform disszociációra való hajlam felmérése nem-klinikai mintán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disszociáció; szomatoform disszociáció; pszichoform disszociáció; SDQ-20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Jelen vizsgálat egy átfogó kutatás része, amelynek célja a szomatoform</w:t>
      </w:r>
      <w:r>
        <w:rPr>
          <w:color w:val="000000"/>
          <w:sz w:val="24"/>
          <w:szCs w:val="24"/>
        </w:rPr>
        <w:br/>
        <w:t xml:space="preserve">disszociáció mérésére alkalmas kérdőív (SDQ-20) magyar adaptálása.</w:t>
      </w:r>
      <w:r>
        <w:rPr>
          <w:color w:val="000000"/>
          <w:sz w:val="24"/>
          <w:szCs w:val="24"/>
        </w:rPr>
        <w:br/>
        <w:t xml:space="preserve">Célkitűzés: A vizsgálat fő célja, hogy felmérje a szomatoform disszociációra való hajlam, a</w:t>
      </w:r>
      <w:r>
        <w:rPr>
          <w:color w:val="000000"/>
          <w:sz w:val="24"/>
          <w:szCs w:val="24"/>
        </w:rPr>
        <w:br/>
        <w:t xml:space="preserve">pszichoform disszociációra való hajlam és a traumatizáció gyakoriságát és kapcsolatukat</w:t>
      </w:r>
      <w:r>
        <w:rPr>
          <w:color w:val="000000"/>
          <w:sz w:val="24"/>
          <w:szCs w:val="24"/>
        </w:rPr>
        <w:br/>
        <w:t xml:space="preserve">nem klinikai mintán.</w:t>
      </w:r>
      <w:r>
        <w:rPr>
          <w:color w:val="000000"/>
          <w:sz w:val="24"/>
          <w:szCs w:val="24"/>
        </w:rPr>
        <w:br/>
        <w:t xml:space="preserve">Módszer: A vizsgálatban 226 fő vett részt. Önbevallás alapján 213 fő nem részesült</w:t>
      </w:r>
      <w:r>
        <w:rPr>
          <w:color w:val="000000"/>
          <w:sz w:val="24"/>
          <w:szCs w:val="24"/>
        </w:rPr>
        <w:br/>
        <w:t xml:space="preserve">korábban pszichiátriai kezelésben, ők alkották vizsgálati mintánkat. Az átlagéletkor 37 év</w:t>
      </w:r>
      <w:r>
        <w:rPr>
          <w:color w:val="000000"/>
          <w:sz w:val="24"/>
          <w:szCs w:val="24"/>
        </w:rPr>
        <w:br/>
        <w:t xml:space="preserve">volt. Eszközeink között szerepelt egy demográfiai és egy standard kérdőívcsomag, amely a</w:t>
      </w:r>
      <w:r>
        <w:rPr>
          <w:color w:val="000000"/>
          <w:sz w:val="24"/>
          <w:szCs w:val="24"/>
        </w:rPr>
        <w:br/>
        <w:t xml:space="preserve">szomatoform disszociációra való hajlamot (SDQ-20), a disszociatív élményekre való</w:t>
      </w:r>
      <w:r>
        <w:rPr>
          <w:color w:val="000000"/>
          <w:sz w:val="24"/>
          <w:szCs w:val="24"/>
        </w:rPr>
        <w:br/>
        <w:t xml:space="preserve">hajlamot (DES), a gyermekkori ártalmas élményeket (ACE) és a testi tünet distresszt mérő</w:t>
      </w:r>
      <w:r>
        <w:rPr>
          <w:color w:val="000000"/>
          <w:sz w:val="24"/>
          <w:szCs w:val="24"/>
        </w:rPr>
        <w:br/>
        <w:t xml:space="preserve">(PHQ-15) kérdőíveket tartalmazta.</w:t>
      </w:r>
      <w:r>
        <w:rPr>
          <w:color w:val="000000"/>
          <w:sz w:val="24"/>
          <w:szCs w:val="24"/>
        </w:rPr>
        <w:br/>
        <w:t xml:space="preserve">Eredmények: A nem-klinikai mintában (N=213) a szomatoform disszociatív hajlam</w:t>
      </w:r>
      <w:r>
        <w:rPr>
          <w:color w:val="000000"/>
          <w:sz w:val="24"/>
          <w:szCs w:val="24"/>
        </w:rPr>
        <w:br/>
        <w:t xml:space="preserve">prevalenciája alacsony, 1% volt (SDQ-20≥29,5). A közepes mértékű (15,5%) és magas</w:t>
      </w:r>
      <w:r>
        <w:rPr>
          <w:color w:val="000000"/>
          <w:sz w:val="24"/>
          <w:szCs w:val="24"/>
        </w:rPr>
        <w:br/>
        <w:t xml:space="preserve">(3,3%) testi tünet distressz gyakoribbnak bizonyult. A pszichoform disszociációra való</w:t>
      </w:r>
      <w:r>
        <w:rPr>
          <w:color w:val="000000"/>
          <w:sz w:val="24"/>
          <w:szCs w:val="24"/>
        </w:rPr>
        <w:br/>
        <w:t xml:space="preserve">súlyosabb hajlam 13%-os gyakorisággal fordult elő (DES≥35). A vizsgálati személyek</w:t>
      </w:r>
      <w:r>
        <w:rPr>
          <w:color w:val="000000"/>
          <w:sz w:val="24"/>
          <w:szCs w:val="24"/>
        </w:rPr>
        <w:br/>
        <w:t xml:space="preserve">33,8%-a nem számolt be egyetlen ACE-ről sem (n=72), 20,7% számolt be 1 ACE-ről</w:t>
      </w:r>
      <w:r>
        <w:rPr>
          <w:color w:val="000000"/>
          <w:sz w:val="24"/>
          <w:szCs w:val="24"/>
        </w:rPr>
        <w:br/>
        <w:t xml:space="preserve">(n=44), 19,7% 2 ACE-ről, 3-ról 11,3% (n=24) és 14,6% (n=31) számolt be 4 vagy több</w:t>
      </w:r>
      <w:r>
        <w:rPr>
          <w:color w:val="000000"/>
          <w:sz w:val="24"/>
          <w:szCs w:val="24"/>
        </w:rPr>
        <w:br/>
        <w:t xml:space="preserve">ACE-ről. Az ACE első 5 itemének (traumatikus élmények) összpontszáma a szomatoform</w:t>
      </w:r>
      <w:r>
        <w:rPr>
          <w:color w:val="000000"/>
          <w:sz w:val="24"/>
          <w:szCs w:val="24"/>
        </w:rPr>
        <w:br/>
        <w:t xml:space="preserve">disszociatív hajlammal (ρ=0,171; p &lt;0,05), a pszichoform disszociatív hajlammal (ρ=0,186;</w:t>
      </w:r>
      <w:r>
        <w:rPr>
          <w:color w:val="000000"/>
          <w:sz w:val="24"/>
          <w:szCs w:val="24"/>
        </w:rPr>
        <w:br/>
        <w:t xml:space="preserve">p &lt;0,01) és a testi tünet distresszel (ρ=0,284; p&lt;0,01) szignifikáns, gyenge kapcsolatot</w:t>
      </w:r>
      <w:r>
        <w:rPr>
          <w:color w:val="000000"/>
          <w:sz w:val="24"/>
          <w:szCs w:val="24"/>
        </w:rPr>
        <w:br/>
        <w:t xml:space="preserve">mutatott. Az ACE második 5 itemének (ártalmas élmények) összpontszámával pedig csak</w:t>
      </w:r>
      <w:r>
        <w:rPr>
          <w:color w:val="000000"/>
          <w:sz w:val="24"/>
          <w:szCs w:val="24"/>
        </w:rPr>
        <w:br/>
        <w:t xml:space="preserve">a PHQ-15 skála mutatott gyenge, de szignifikáns kapcsolatot (ρ=0,130; p=0,05). Az ACE</w:t>
      </w:r>
      <w:r>
        <w:rPr>
          <w:color w:val="000000"/>
          <w:sz w:val="24"/>
          <w:szCs w:val="24"/>
        </w:rPr>
        <w:br/>
        <w:t xml:space="preserve">összpontszáma a pszichoform disszociatív hajlammal (ρ=0,140; p&lt;0,05) és a a testi tünet</w:t>
      </w:r>
      <w:r>
        <w:rPr>
          <w:color w:val="000000"/>
          <w:sz w:val="24"/>
          <w:szCs w:val="24"/>
        </w:rPr>
        <w:br/>
        <w:t xml:space="preserve">distresszel (ρ=0,250; p&lt;0,01) gyenge, de szignifikáns kapcsolatot mutatott, míg a</w:t>
      </w:r>
      <w:r>
        <w:rPr>
          <w:color w:val="000000"/>
          <w:sz w:val="24"/>
          <w:szCs w:val="24"/>
        </w:rPr>
        <w:br/>
        <w:t xml:space="preserve">szomatoform disszociatív hajlammal nem találtunk ilyen összefüggést. A DES és az SDQ20 közötti kapcsolat gyenge, szignifikáns volt (ρ=0,268; p &lt;0,01).</w:t>
      </w:r>
      <w:r>
        <w:rPr>
          <w:color w:val="000000"/>
          <w:sz w:val="24"/>
          <w:szCs w:val="24"/>
        </w:rPr>
        <w:br/>
        <w:t xml:space="preserve">Következtetés: A traumatizáció aránya figyelemfelhívó nem-klinikai mintánkban. A</w:t>
      </w:r>
      <w:r>
        <w:rPr>
          <w:color w:val="000000"/>
          <w:sz w:val="24"/>
          <w:szCs w:val="24"/>
        </w:rPr>
        <w:br/>
        <w:t xml:space="preserve">pszichoform disszociáciációra való hajlam eredményeink alapján gyakrabban fordul elő</w:t>
      </w:r>
      <w:r>
        <w:rPr>
          <w:color w:val="000000"/>
          <w:sz w:val="24"/>
          <w:szCs w:val="24"/>
        </w:rPr>
        <w:br/>
        <w:t xml:space="preserve">nem klinikai populációkban, mint a szomatoform disszociációra való hajlam. Az</w:t>
      </w:r>
      <w:r>
        <w:rPr>
          <w:color w:val="000000"/>
          <w:sz w:val="24"/>
          <w:szCs w:val="24"/>
        </w:rPr>
        <w:br/>
        <w:t xml:space="preserve">eredmények felvetik a traumatizáció és a disszociatív hajlam mértéke közötti mediáló,</w:t>
      </w:r>
      <w:r>
        <w:rPr>
          <w:color w:val="000000"/>
          <w:sz w:val="24"/>
          <w:szCs w:val="24"/>
        </w:rPr>
        <w:br/>
        <w:t xml:space="preserve">esetlegesen védő, reziliencia tényezők szerepét és jelentőségét.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05760">
    <w:multiLevelType w:val="hybridMultilevel"/>
    <w:lvl w:ilvl="0" w:tplc="59602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05760">
    <w:abstractNumId w:val="625057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755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