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NÉMETHINÉ BODNÁR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bodnar.andrea.hun@gmail.com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Bucsku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gyógytornász,  Debreceni Egyetem, DE Klinikai Központ (DEKK), Egészségügyi Szolgáltató Egységek, Klinikák, Neurológiai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Stroke betegek Bobath szemlélettel történő rehabilitációja akut neurológiai osztályon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stroke; Bobath; rehabilitáció; neurológia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stroke-on átesett betegek az önellátásra irányuló törekvésük miatt</w:t>
      </w:r>
      <w:r>
        <w:rPr>
          <w:color w:val="000000"/>
          <w:sz w:val="24"/>
          <w:szCs w:val="24"/>
        </w:rPr>
        <w:br/>
        <w:t xml:space="preserve">kompenzációs mozgásokat alkalmaznak, melyek korlátozhatják a fiziológiás mozgásminták</w:t>
      </w:r>
      <w:r>
        <w:rPr>
          <w:color w:val="000000"/>
          <w:sz w:val="24"/>
          <w:szCs w:val="24"/>
        </w:rPr>
        <w:br/>
        <w:t xml:space="preserve">újratanulását. A Bobath szemlélet ezen nem megfelelő kompenzációs stratégiák gátlásán túl</w:t>
      </w:r>
      <w:r>
        <w:rPr>
          <w:color w:val="000000"/>
          <w:sz w:val="24"/>
          <w:szCs w:val="24"/>
        </w:rPr>
        <w:br/>
        <w:t xml:space="preserve">a szelektív mozgás kontrolljára és a testtartás szabályozásra helyezi a hangsúlyt az</w:t>
      </w:r>
      <w:r>
        <w:rPr>
          <w:color w:val="000000"/>
          <w:sz w:val="24"/>
          <w:szCs w:val="24"/>
        </w:rPr>
        <w:br/>
        <w:t xml:space="preserve">érzékszervekből érkező információk hatékony feldolgozásán keresztül.</w:t>
      </w:r>
      <w:r>
        <w:rPr>
          <w:color w:val="000000"/>
          <w:sz w:val="24"/>
          <w:szCs w:val="24"/>
        </w:rPr>
        <w:br/>
        <w:t xml:space="preserve">Célok: Célként tűztük ki, hogy megvizsgáljuk a Bobath szemléletű mozgásprogram</w:t>
      </w:r>
      <w:r>
        <w:rPr>
          <w:color w:val="000000"/>
          <w:sz w:val="24"/>
          <w:szCs w:val="24"/>
        </w:rPr>
        <w:br/>
        <w:t xml:space="preserve">hatékonyságát a kórházban tartózkodás ideje alatt, valamint, hogy eredményeinket</w:t>
      </w:r>
      <w:r>
        <w:rPr>
          <w:color w:val="000000"/>
          <w:sz w:val="24"/>
          <w:szCs w:val="24"/>
        </w:rPr>
        <w:br/>
        <w:t xml:space="preserve">összehasonlítsuk a hagyományos gyógytornában részesülő betegek eredményeivel.</w:t>
      </w:r>
      <w:r>
        <w:rPr>
          <w:color w:val="000000"/>
          <w:sz w:val="24"/>
          <w:szCs w:val="24"/>
        </w:rPr>
        <w:br/>
        <w:t xml:space="preserve">Módszerek: A Bobath szemlélet alapján összeállított tornaprogramba 17, míg a</w:t>
      </w:r>
      <w:r>
        <w:rPr>
          <w:color w:val="000000"/>
          <w:sz w:val="24"/>
          <w:szCs w:val="24"/>
        </w:rPr>
        <w:br/>
        <w:t xml:space="preserve">hagyományos gyógytornában részesülő csoportba 18 főt vontunk be. Az anamnézis</w:t>
      </w:r>
      <w:r>
        <w:rPr>
          <w:color w:val="000000"/>
          <w:sz w:val="24"/>
          <w:szCs w:val="24"/>
        </w:rPr>
        <w:br/>
        <w:t xml:space="preserve">felvétele után a betegek önellátásához szükséges mozgásokat mértük fel a Postural</w:t>
      </w:r>
      <w:r>
        <w:rPr>
          <w:color w:val="000000"/>
          <w:sz w:val="24"/>
          <w:szCs w:val="24"/>
        </w:rPr>
        <w:br/>
        <w:t xml:space="preserve">Assessment Scale (PASS) teszt segítségével. Ezután elvégeztük a Modified Functional</w:t>
      </w:r>
      <w:r>
        <w:rPr>
          <w:color w:val="000000"/>
          <w:sz w:val="24"/>
          <w:szCs w:val="24"/>
        </w:rPr>
        <w:br/>
        <w:t xml:space="preserve">Reach (MFR) tesztet az ülőegyensúly vizsgálatára, továbbá a Timed Up and Go tesztet a</w:t>
      </w:r>
      <w:r>
        <w:rPr>
          <w:color w:val="000000"/>
          <w:sz w:val="24"/>
          <w:szCs w:val="24"/>
        </w:rPr>
        <w:br/>
        <w:t xml:space="preserve">járás közbeni egyensúly felmérésére. A Bobath szemlélet alapján alkalmazott technikákat</w:t>
      </w:r>
      <w:r>
        <w:rPr>
          <w:color w:val="000000"/>
          <w:sz w:val="24"/>
          <w:szCs w:val="24"/>
        </w:rPr>
        <w:br/>
        <w:t xml:space="preserve">az egyén képességeihez adaptálva választottuk ki. Egy betegen 3-5 féle technikát</w:t>
      </w:r>
      <w:r>
        <w:rPr>
          <w:color w:val="000000"/>
          <w:sz w:val="24"/>
          <w:szCs w:val="24"/>
        </w:rPr>
        <w:br/>
        <w:t xml:space="preserve">alkalmaztunk. A hagyományos gyógytorna fekvő helyzetben vagy ülésben történt, és</w:t>
      </w:r>
      <w:r>
        <w:rPr>
          <w:color w:val="000000"/>
          <w:sz w:val="24"/>
          <w:szCs w:val="24"/>
        </w:rPr>
        <w:br/>
        <w:t xml:space="preserve">állapottól függően sétával folytatódott. Minden 4. napon újramértük a páciensek fejlődését</w:t>
      </w:r>
      <w:r>
        <w:rPr>
          <w:color w:val="000000"/>
          <w:sz w:val="24"/>
          <w:szCs w:val="24"/>
        </w:rPr>
        <w:br/>
        <w:t xml:space="preserve">a vizsgálótesztekkel. A kórházban tartózkodás rövid ideje, valamint rendszerszintű</w:t>
      </w:r>
      <w:r>
        <w:rPr>
          <w:color w:val="000000"/>
          <w:sz w:val="24"/>
          <w:szCs w:val="24"/>
        </w:rPr>
        <w:br/>
        <w:t xml:space="preserve">problémák miatt a mozgásterápia első 3 napja alatt elért eredményeinket tudtuk</w:t>
      </w:r>
      <w:r>
        <w:rPr>
          <w:color w:val="000000"/>
          <w:sz w:val="24"/>
          <w:szCs w:val="24"/>
        </w:rPr>
        <w:br/>
        <w:t xml:space="preserve">statisztikailag kiértékelni.</w:t>
      </w:r>
      <w:r>
        <w:rPr>
          <w:color w:val="000000"/>
          <w:sz w:val="24"/>
          <w:szCs w:val="24"/>
        </w:rPr>
        <w:br/>
        <w:t xml:space="preserve">Eredmények: Csoporton belül a tesztek intervenció előtt mért értékeit az intervenció után</w:t>
      </w:r>
      <w:r>
        <w:rPr>
          <w:color w:val="000000"/>
          <w:sz w:val="24"/>
          <w:szCs w:val="24"/>
        </w:rPr>
        <w:br/>
        <w:t xml:space="preserve">mért értékekkel összehasonlítva 2 tesztnél tapasztaltunk szignifikáns fejlődést. A PASS</w:t>
      </w:r>
      <w:r>
        <w:rPr>
          <w:color w:val="000000"/>
          <w:sz w:val="24"/>
          <w:szCs w:val="24"/>
        </w:rPr>
        <w:br/>
        <w:t xml:space="preserve">teszt esetén mind a Bobath (p&lt;0,001), mind a gyógytorna csoport (p&lt;0,001); a TUG teszt</w:t>
      </w:r>
      <w:r>
        <w:rPr>
          <w:color w:val="000000"/>
          <w:sz w:val="24"/>
          <w:szCs w:val="24"/>
        </w:rPr>
        <w:br/>
        <w:t xml:space="preserve">esetében pedig a hagyományos gyógytornában részesülő csoport résztvevőinek eredményei</w:t>
      </w:r>
      <w:r>
        <w:rPr>
          <w:color w:val="000000"/>
          <w:sz w:val="24"/>
          <w:szCs w:val="24"/>
        </w:rPr>
        <w:br/>
        <w:t xml:space="preserve">(p=0,02) voltak szignifikánsan jobbak az intervenció után. A két csoport eredményeit</w:t>
      </w:r>
      <w:r>
        <w:rPr>
          <w:color w:val="000000"/>
          <w:sz w:val="24"/>
          <w:szCs w:val="24"/>
        </w:rPr>
        <w:br/>
        <w:t xml:space="preserve">összehasonlítva egyik teszt esetében sem találtunk szignifikáns különbséget.</w:t>
      </w:r>
      <w:r>
        <w:rPr>
          <w:color w:val="000000"/>
          <w:sz w:val="24"/>
          <w:szCs w:val="24"/>
        </w:rPr>
        <w:br/>
        <w:t xml:space="preserve">Összefoglalás/Következtetések: A betegek állapota 3 nap kórházban tartózkodás után is</w:t>
      </w:r>
      <w:r>
        <w:rPr>
          <w:color w:val="000000"/>
          <w:sz w:val="24"/>
          <w:szCs w:val="24"/>
        </w:rPr>
        <w:br/>
        <w:t xml:space="preserve">látványos, valamint statisztikailag is igazolható fejlődést mutatott az alkalmazott</w:t>
      </w:r>
      <w:r>
        <w:rPr>
          <w:color w:val="000000"/>
          <w:sz w:val="24"/>
          <w:szCs w:val="24"/>
        </w:rPr>
        <w:br/>
        <w:t xml:space="preserve">mozgásterápia típusától függetlenül, ami alátámasztja az intervenciónk eredményességét</w:t>
      </w:r>
      <w:r>
        <w:rPr>
          <w:color w:val="000000"/>
          <w:sz w:val="24"/>
          <w:szCs w:val="24"/>
        </w:rPr>
        <w:br/>
        <w:t xml:space="preserve">továbbá hangsúlyozza a gyógytorna fontosságát az akut ellátás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13955">
    <w:multiLevelType w:val="hybridMultilevel"/>
    <w:lvl w:ilvl="0" w:tplc="65198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13955">
    <w:abstractNumId w:val="58613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376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