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DEÁK DARINA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deakdarina@gmail.com</w:t>
            </w:r>
            <w:r w:rsidRPr="001067CD">
              <w:rPr>
                <w:i/>
              </w:rPr>
              <w:br/>
            </w:r>
            <w:r w:rsidR="00A96AEC">
              <w:t>ápolás és betegellátás, gyógytornász szakirány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Takács Johanna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Koller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 emeritus,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poszt COVID-19 szindróma jelentős kognitív diszfunkciót okoz fiatal felnőttekben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kognitív funkciók; poszt COVID-19; fiatal felnőttek; verbális munkamemória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COVID-19 pandémia jelentősen hatott az emberek fizikai és szellemi működésére, a fertőzésen átesett személyek közel 30%-a tapasztal fennmaradó tüneteket (poszt COVID-19 szindróma, PCC). A PCC egyik leggyakoribb tünete a kognitív funkciók zavara, melynek részletei, különösen hazánkban, nem tisztázottak. Korábbi kutatások alapján feltételeztük, hogy PCC-ben leginkább a figyelem, a végrehajtó funkciók és a válaszgátlás sérül. COVID-19 fertőzésen átesett fiatal felnőttekben objektív módon kimutatni a kognitív funkciók károsodásának jelenlétét és mértékét.</w:t>
      </w:r>
      <w:r>
        <w:rPr>
          <w:color w:val="000000"/>
          <w:sz w:val="24"/>
          <w:szCs w:val="24"/>
        </w:rPr>
        <w:br/>
        <w:t xml:space="preserve">Módszerek: A kutatásban 107 (79.4% nő) 18-34 év közötti fiatal felnőtt vett részt. Az alanyok 68.2%-a esett át COVID-19 fertőzésen, 21.9%-a tapasztalt fennmaradó tüneteket. Három csoportot vizsgáltunk: nem fertőzöttek (kontroll csoport), fertőzöttek és PCC csoport. A fertőzést követő tünetek gyakoriságát a WHO post COVID kérdőívvel mértük. A figyelem (intrinzik éberség, megosztott figyelem, információfeldolgozási sebesség), végrehajtó funkciók (kognitív rugalmasság, verbális munkamemória) és válaszgátlás mérése számítógépes, normalizált kognitív tesztekkel történt. A kognitív teljesítmény értékelését percentilis rangszámokkal végeztük, elkülönítve az átlag alatti (kognitív károsodás) és átlagos/átlag feletti teljesítményt.</w:t>
      </w:r>
      <w:r>
        <w:rPr>
          <w:color w:val="000000"/>
          <w:sz w:val="24"/>
          <w:szCs w:val="24"/>
        </w:rPr>
        <w:br/>
        <w:t xml:space="preserve">Eredmények: A PCC csoportban leggyakrabban neurológiai tüneteket tapasztaltak: koncentrálási nehézségek (68.8%), fáradtság (62.5%) és feledékenység (50%). A verbális munkamemória szignifikáns különbséget mutatott a három csoport között (F(2,104)=3.917, p=0.023, η</w:t>
      </w:r>
      <w:r>
        <w:rPr>
          <w:color w:val="000000"/>
          <w:position w:val="-4"/>
          <w:sz w:val="21"/>
          <w:szCs w:val="21"/>
          <w:vertAlign w:val="subscript"/>
        </w:rPr>
        <w:t xml:space="preserve">p</w:t>
      </w:r>
      <w:r>
        <w:rPr>
          <w:color w:val="000000"/>
          <w:position w:val="4"/>
          <w:sz w:val="21"/>
          <w:szCs w:val="21"/>
        </w:rPr>
        <w:t xml:space="preserve">2</w:t>
      </w:r>
      <w:r>
        <w:rPr>
          <w:color w:val="000000"/>
          <w:sz w:val="24"/>
          <w:szCs w:val="24"/>
        </w:rPr>
        <w:t xml:space="preserve">=0.07). A PCC csoport jelentősen nagyobb aránya mutatott átlag alatti teljesítményt (56.2%), mint a fertőzött (15.8%) és kontroll csoport (20.6%). A megosztott figyelemben a PCC (62.5%) és fertőzött (57.9%) csoportok nagyobb aránya ért el átlag alatti teljesítményt a kontroll csoporthoz (41.2%) képest. A válaszgátlás esetén a PCC csoport szintén nagyobb arányban teljesített átlag alatt (37.5%), mint a fertőzött (19.3%) és kontroll csoport (14.7%).</w:t>
      </w:r>
      <w:r>
        <w:rPr>
          <w:color w:val="000000"/>
          <w:sz w:val="24"/>
          <w:szCs w:val="24"/>
        </w:rPr>
        <w:br/>
        <w:t xml:space="preserve">Megbeszélés: Poszt COVID-19 szindrómában szenvedő fiatal felnőtteknél jelentős hosszútávú kognitív károsodás mutatható ki, elsősorban a verbális munkamemória, a megosztott figyelem és válaszgátlás terén. A kognitív károsodások hosszútávú követése segítséget jelenthet azok megfelelő pszichológiai kezelésében.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882607">
    <w:multiLevelType w:val="hybridMultilevel"/>
    <w:lvl w:ilvl="0" w:tplc="54719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882607">
    <w:abstractNumId w:val="908826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271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