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CHRENKÓ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matechrenko@gmail.com</w:t>
            </w:r>
            <w:r w:rsidRPr="001067CD">
              <w:rPr>
                <w:i/>
              </w:rPr>
              <w:br/>
            </w:r>
            <w:r w:rsidR="00A96AEC">
              <w:t>Fizioterápia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Mayer Ágnes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Pavlik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főorvos, ortopéd sebész, sportorvos,  Semmelweis Egyetem Sportorvostan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Sinka Gréta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gyógytornász-fizioterapeuta,  Semmelweis Egyetem Rácz Károly Klinikai Orvostudományok Doktori Iskola, Ferencvárosi Torna Club Kézilabda Akadémia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 korú női vízilabdázók mozgásszervi vizsgálata az alapozás időszakában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vízilabda; vállfájdalom; prevenció; mozgástartomány; izomerő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fej feletti mozgást végző sportágak közé tartozó vízilabda repetitív felső végtagi elevációval és nagy energiaigényű felső végtagi kirotációval jár. A fizikai kontakt és a nagy edzésmennyiség miatt a legtöbb sérüléssel járó vízi sportág, ugyanakkor női és utánpótlás korosztályú vízilabdázókra vonatkozóan kevés adattal rendelkezünk. A sérülések megelőzése érdekében lényeges a sportolók részletes mozgásszervi felmérése.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A gyermek-serdülő-ifjúsági korosztályú női vízilabdázók mozgásszervi funkcióinak és sportági rizikófaktorainak feltérképezése.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 kutatásban 52 fő női vízilabdázó vett részt. 24 fő gyermek (13±0,8év), 18 fő serdülő (15±0,7év) és 10 fő ifjúsági korosztályú (17±0,5év) sportoló. A testtartás értékelésére a PostureScreen11.1 applikációt használtuk. A vállízületi mozgástartományt goniométerrel, az izomerőt VALD Perfomance ForceFrame rendszerrel mértük. Speciális ortopédiai funkcionális és diagnosztikai teszteket alkalmaztunk. A statisztikai analízist az SPSS Statistics 28.0 programmal végeztük és a szignifikancia szintet α=0,05 értékben határoztuk meg.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passzív vállízületi mozgástartomány mérésekor mindkét oldali kirotációs mozgástartomány és rotációs ív az ifjúsági korosztálynál szignifikánsan nagyobb volt, mint a gyermek és a serdülő korosztálynál. Izomerő tekintetében a domináns oldali váll berotátorok kivételével az ifjúságiaknál szignifikánsan nagyobb váll izomerőt mértünk a másik két korosztályhoz képest. Az alapozás időszakában a sportolók 57%-ának volt vállfájdalma, a vállízületi impingementre (4,1-80%) és instabilitára (33,3-55,6%) utaló speciális tesztek pozitivitásának százalékos előfordulása igen magas volt mindhárom korosztálynál. A scapula dyskinesis előfordulása 41-72% volt, továbbá számos váll-vállövi komplexummal kapcsolatos testtartásbeli eltérés volt tapasztalható.</w:t>
      </w:r>
      <w:r>
        <w:rPr>
          <w:color w:val="000000"/>
          <w:sz w:val="24"/>
          <w:szCs w:val="24"/>
        </w:rPr>
        <w:br/>
        <w:t xml:space="preserve">Következtetés</w:t>
      </w:r>
      <w:r>
        <w:rPr>
          <w:color w:val="000000"/>
          <w:sz w:val="24"/>
          <w:szCs w:val="24"/>
        </w:rPr>
        <w:br/>
        <w:t xml:space="preserve">A vízilabda sportágra jellemző mozgásszervi eltérések és a vállfájdalom, valamint annak rizikófaktorai jelen vannak a tanulmányban részt vevő vízilabdázóknál. Eredményeink alapján prevenciós program tervezése, kivitelezése és hatásosságának mérése szükséges.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Innovációs és Technológiai Minisztérium ÚNKP-23-2-II kódszámú Új Nemzeti Kiválóság Program, valamint a Nemzeti Kutatási, Fejlesztési és Innovációs Alap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767858">
    <w:multiLevelType w:val="hybridMultilevel"/>
    <w:lvl w:ilvl="0" w:tplc="43708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767858">
    <w:abstractNumId w:val="84767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04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