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MAY ORSOLYA FADVA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mayorsolyafadva@gmail.com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Sármán Beatrix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Prekoncepcionális gondozás jelentősége 1-es típusú cukorbetegségben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Diabetes mellitus; várandósság; prevenció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1-es típusú cukorbetegségben (DM1) a várandósság tervezése, a</w:t>
      </w:r>
      <w:r>
        <w:rPr>
          <w:color w:val="000000"/>
          <w:sz w:val="24"/>
          <w:szCs w:val="24"/>
        </w:rPr>
        <w:br/>
        <w:t xml:space="preserve">prekoncepcionális gondozásba vétel kiemelten fontos. Az elhanyagolt szénhidrát anyagcsere a magzatra és az anyára is veszélyes.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DM1 várandós kismamák és újszülöttjeik eredményeit hasonlítottuk össze aszerint, hogy prekoncepcionális gondozásban részt vettek vagy nem.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Vizsgálatunkban 38 terhesség adatait összesítettük. A 38 esetből 20 esetben</w:t>
      </w:r>
      <w:r>
        <w:rPr>
          <w:color w:val="000000"/>
          <w:sz w:val="24"/>
          <w:szCs w:val="24"/>
        </w:rPr>
        <w:br/>
        <w:t xml:space="preserve">vettek részt prekoncepcionális (PC+) gondozásban. 32 várandós DM1 nő közül 6-an kétszer</w:t>
      </w:r>
      <w:r>
        <w:rPr>
          <w:color w:val="000000"/>
          <w:sz w:val="24"/>
          <w:szCs w:val="24"/>
        </w:rPr>
        <w:br/>
        <w:t xml:space="preserve">szültek. 15 esetben a várandósság alatt frakcionált humán inzulin (ICT+SMBG) terápia</w:t>
      </w:r>
      <w:r>
        <w:rPr>
          <w:color w:val="000000"/>
          <w:sz w:val="24"/>
          <w:szCs w:val="24"/>
        </w:rPr>
        <w:br/>
        <w:t xml:space="preserve">mellett vércukorönellenőrzést alkalmaztak a kismamák. 23 esetben folyamatos szöveti</w:t>
      </w:r>
      <w:r>
        <w:rPr>
          <w:color w:val="000000"/>
          <w:sz w:val="24"/>
          <w:szCs w:val="24"/>
        </w:rPr>
        <w:br/>
        <w:t xml:space="preserve">glukózmonitorozás (CGM) kísérte a várandósságot, (12 ICT+CGM), 11 esetben</w:t>
      </w:r>
      <w:r>
        <w:rPr>
          <w:color w:val="000000"/>
          <w:sz w:val="24"/>
          <w:szCs w:val="24"/>
        </w:rPr>
        <w:br/>
        <w:t xml:space="preserve">inzulinpumpa kezelést (SAP+CGM) alkalmaztunk. Az anyák átlagéletkora a szüléskor 31,3 ±</w:t>
      </w:r>
      <w:r>
        <w:rPr>
          <w:color w:val="000000"/>
          <w:sz w:val="24"/>
          <w:szCs w:val="24"/>
        </w:rPr>
        <w:br/>
        <w:t xml:space="preserve">6,0 év (átlag± SD) volt, az átlagos diabetestartam szüléskor 14± 6.5 év volt.</w:t>
      </w:r>
      <w:r>
        <w:rPr>
          <w:color w:val="000000"/>
          <w:sz w:val="24"/>
          <w:szCs w:val="24"/>
        </w:rPr>
        <w:br/>
        <w:t xml:space="preserve">Az adatok normális eloszlását ellenőriztük. Student 2 mintás T próbát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HbA1c az első trimeszterben különbözött a csoportok között, a</w:t>
      </w:r>
      <w:r>
        <w:rPr>
          <w:color w:val="000000"/>
          <w:sz w:val="24"/>
          <w:szCs w:val="24"/>
        </w:rPr>
        <w:br/>
        <w:t xml:space="preserve">prekoncepcionálisan nem gondozott (PC-) az ICT+SMBG csoportban szignifikánsan</w:t>
      </w:r>
      <w:r>
        <w:rPr>
          <w:color w:val="000000"/>
          <w:sz w:val="24"/>
          <w:szCs w:val="24"/>
        </w:rPr>
        <w:br/>
        <w:t xml:space="preserve">magasabb volt, mint a PC+ és össz-CGM-et használó csoportban (7.6 ± 1.3 vs. 6.7 ± 0.6,</w:t>
      </w:r>
      <w:r>
        <w:rPr>
          <w:color w:val="000000"/>
          <w:sz w:val="24"/>
          <w:szCs w:val="24"/>
        </w:rPr>
        <w:br/>
        <w:t xml:space="preserve">p=0.024). A HbA1c értéke 3. trimeszterben nem mutatott különbséget a csoportok között. Az</w:t>
      </w:r>
      <w:r>
        <w:rPr>
          <w:color w:val="000000"/>
          <w:sz w:val="24"/>
          <w:szCs w:val="24"/>
        </w:rPr>
        <w:br/>
        <w:t xml:space="preserve">inzulin igény az 1. és 3. trimeszterben is szignifikánsan magasabb volt a PC- és ICT+SMBG</w:t>
      </w:r>
      <w:r>
        <w:rPr>
          <w:color w:val="000000"/>
          <w:sz w:val="24"/>
          <w:szCs w:val="24"/>
        </w:rPr>
        <w:br/>
        <w:t xml:space="preserve">csoportban, mint a PC+ és CGM-csoportban (50.5 ± 22.6 és 101.3 ±67.9 vs. 33.3 ±4.6 és 59.0±27.2, p=0.033 és 0,046). Az inzulin igény az 1. trimeszterben szignifikánsan magasabb volt a PC-, de CGM csoportban, mint a PC+ és CGM csoportban (55.9 ± 27.2IU vs. 33.3±14.6IU, p=0.019). Az újszülöttek születési súlyában különbség mutatkozott a PC- és ICT+SMBG vs. PC+ és CGM-et használó csoport között (3516.0 ± 721.4 vs. 4137.9 ± 628.1 gramm, p=0,035). A diabetes időtartama szignifikánsan különbözött a PC- és ICT+SMBG vs. PC+ CGM-et használó csoport között (17.5 ± 6.9 vs. 11.9 ± 6.2 év, p=0,047).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 1-es típusú cukorbetegségben hasonlóan az irodalmi adatokhoz továbbra is – még ideális HbA1c mellett- is – gyakori a magzati és anyai szövődmény. A prekoncepcionális gondozás szignifikánsan –jó irányba- befolyásolja az 1-es típusú cukorbeteg várandós nők HbA1c értékét, inzulin igényét és eredményeink kiemelik a CGM használat fontosságát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27785">
    <w:multiLevelType w:val="hybridMultilevel"/>
    <w:lvl w:ilvl="0" w:tplc="56119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27785">
    <w:abstractNumId w:val="31527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460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