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DÁNIEL GÁSPÁR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gaspar.dana01@gmail.com</w:t>
            </w:r>
            <w:r w:rsidRPr="001067CD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REBEKA SÁRA OROVA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rebekaorova@gmail.com</w:t>
            </w:r>
            <w:bookmarkStart w:id="1" w:name="_GoBack"/>
            <w:bookmarkEnd w:id="1"/>
            <w:r w:rsidRPr="001067CD">
              <w:br/>
            </w:r>
            <w:r w:rsidR="00C275A3">
              <w:t>General Medicine</w:t>
            </w:r>
            <w:r w:rsidR="00A96AEC">
              <w:br/>
              <w:t>Unified, 6. semester</w:t>
            </w:r>
          </w:p>
          <w:p w:rsidR="00DB4822" w:rsidRDefault="00DB4822" w:rsidP="004D7940">
            <w:pPr>
              <w:pStyle w:val="Hallgatointezmeny-kar"/>
            </w:pPr>
            <w:r>
              <w:t>Semmelweis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László Tretter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Tímea Komlódi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and in vivo metabolic characteristics of α-ketoglutarate-dehydrogenase E2 and E3 double heterozygous knockout mice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637975">
    <w:multiLevelType w:val="hybridMultilevel"/>
    <w:lvl w:ilvl="0" w:tplc="62968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637975">
    <w:abstractNumId w:val="706379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114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