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DEBRECZENI DORINA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dorinadebreczeni@gmail.com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Czirják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humán TRESK iCtr módosításai hatnak a csatorna expresszióra és aktivitásra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celluláris elektrofiziológia; háttér káliumcsatorna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humán TRESK a két pórusdoménnal rendelkező (K2P) háttér káliumcsatorna család tagja. Nagy mennyiségben expresszálódik érzőneuronokban, jelentőségét felvetették például az aura típusú migrén kialakulásában. Korábban megállapítottuk, hogy a TRESK rövid intracelluláris C-terminális régiójának (iCtr) módosításai jelentős hatással vannak a csatorna aktivitásra. Kísérleteinkhez korábban előállítottunk egy csatornakonstrukciót (RW361), melyben a C-terminálist egy általunk szerkesztett szekvencia részlettel helyettesítettük. Az RW361 mutáns a vad típusnál nagyobb aktivitású csatorna, de kismértékben expresszálódik.</w:t>
      </w:r>
      <w:r>
        <w:rPr>
          <w:color w:val="000000"/>
          <w:sz w:val="24"/>
          <w:szCs w:val="24"/>
        </w:rPr>
        <w:br/>
        <w:t xml:space="preserve">Célkitűzés:</w:t>
      </w:r>
      <w:r>
        <w:rPr>
          <w:color w:val="000000"/>
          <w:sz w:val="24"/>
          <w:szCs w:val="24"/>
        </w:rPr>
        <w:br/>
        <w:t xml:space="preserve">Az iCtr csatorna aktivitásra és expresszióra kifejtett hatásának pontos mechanizmusa nem ismert. Jelen munkánk célja, hogy megtaláljuk azt az iCtr részletet, amely az aktivitás vagy expresszió befolyásolásában meghatározó tényező lehet.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Az in vitro irányított mutagenezissel előállított TRESK mutánsokat heterológ expressziós rendszerben kételektródos feszültségzár technikával (TEVC), illetve az általunk közelmúltban leírt epithelialis nátrium áram hányados (ENaR) módszerrel vizsgáltuk. Az ENaR módszer esetében a TRESK csatornát epithelialis nátrium csatornával egy polipeptid láncba fűzzük, és a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és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áramok hányadosaként meghatározunk egy csatornaaktivitással arányos, de expresszió mértékétől független együtthatót (ENaR).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Az RW361 konstrukcióból kiindulva új TRESK mutánsokat állítottunk elő, melyek az RW361 egyik szakasza (LRRL) helyett a vad típusú iCtr-ra jellemző YKNV motívumot tartalmazzák, vagy átmenetet képeznek: YRRV és YRRL mutáns. Az eredeti motívum első és utolsó aminosavval rendelkező mutáns (YRRV) ENaR értéke 0,20-nak adódott, míg a teljes YKNV motívum beillesztése 0,37-es ENaR értéket eredményezett. A motívumban található tirozint fenilalaninra cserélve is készültek konstrukciók: FKNV és FRRL. A teljes sejtes káliumáram az RW361 esetén 0,1 μA volt, az átalakított mutánsokon 0,4 és 9,2 μA között alakult: például az YKNV több, mint hatszor nagyobb áramot adott, mint az YRRV.</w:t>
      </w:r>
      <w:r>
        <w:rPr>
          <w:color w:val="000000"/>
          <w:sz w:val="24"/>
          <w:szCs w:val="24"/>
        </w:rPr>
        <w:br/>
        <w:t xml:space="preserve">Következtetés:</w:t>
      </w:r>
      <w:r>
        <w:rPr>
          <w:color w:val="000000"/>
          <w:sz w:val="24"/>
          <w:szCs w:val="24"/>
        </w:rPr>
        <w:br/>
        <w:t xml:space="preserve">A teljes YKNV motívummal rendelkező RW361 mutáns TRESK csatorna nagyobb aktivitású, mint a motívum részletét tartalmazó mutáns. A vizsgált konstrukciókon az RW361 mutánsnál nagyobb teljes sejtes áramokat mértünk. Tehát az iCtr YKNV motívuma feltételezhetően szerepet játszik a csatorna kifejeződésében és aktivitásának fenntartásában.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76310">
    <w:multiLevelType w:val="hybridMultilevel"/>
    <w:lvl w:ilvl="0" w:tplc="54932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76310">
    <w:abstractNumId w:val="999763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17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