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ÁGOSTON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001hago@gmail.com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Almási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Erdélyi Dániel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Hosszú nem kódoló RNS-ek, mint sejtmentes biológiai folyadékok potenciális biomarkerei gyermekkori akut prekurzor B sejtes limfoblasztos leukémiában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csontvelő aspirátum; liquor cerebrospinalis; minimálinvazív diagnosztika; központi idegrendszeri akut limfoblasztos leukémia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gyermekkori pre-B akut limfoblasztos leukémia (ALL) diagnosztikájában leggyakrabban sejtek kimutatásán alapuló módszereket alkalmaznak csontvelőből (CSV) és liquor cerebrospinálisból (CSF). Bár a CSV-ből nagy szenzitivitású sejtes és molekuláris módszerek is elérhetők, azonban a mintavétel invazív, idő- és munkaigényes. Mindemellett, a központi idegrendszeri (KIR) érintettsége jelentősen rontja a prognózist. A rutin KIR diagnosztikai módszerek nagy százalékban álnegatív eredményt adnak. Míg a blasztok főleg az agyhártyákhoz tapadnak, a belőlük kiszabaduló molekulák könnyebben diffundálhatnak a CSF-ben. A hosszú nem kódoló RNS-ek (lncRNS) olyan proteint nem kódoló nukleinsavak, melyek különböző sejttípusokra, azoknak érési stádiumaira, illetve különböző betegségekre specifikus expressziós mintákat mutatnak.</w:t>
      </w:r>
      <w:r>
        <w:rPr>
          <w:color w:val="000000"/>
          <w:sz w:val="24"/>
          <w:szCs w:val="24"/>
        </w:rPr>
        <w:br/>
        <w:t xml:space="preserve">Célkitűzés: Projektünk célja olyan lncRNS-ek azonosítása sejtmentes biológiai folyadékokban, amelyek szenzitív, kvantitatív biomarkerekként alkalmazhatók.</w:t>
      </w:r>
      <w:r>
        <w:rPr>
          <w:color w:val="000000"/>
          <w:sz w:val="24"/>
          <w:szCs w:val="24"/>
        </w:rPr>
        <w:br/>
        <w:t xml:space="preserve">Módszer: Átfogó irodalomkutatással ALL-ben sejtes mintákból leírt lncRNS-eket gyűjtöttünk. De novo, ALL IC-BFM 2009 szerint kezelt ALL-es betegek CSV, PV és CSF mintáit különböző időpontokban gyűjtöttük, és centrifugálással sejtmentesítettük. A megfelelő RNS izoláló módszereket több módszer kipróbálásával választottuk ki. 1) A CSV screening-hez 11 beteg diagnózis napi és indukció végi mintáit használtunk, 89 targetet mértünk qPCR segítségével. 2) Módszerbeállítást követően CSF mintákon mértük a CSV-ből kiválasztott potenciális 5 markert digitális droplet PCR segítségével.</w:t>
      </w:r>
      <w:r>
        <w:rPr>
          <w:color w:val="000000"/>
          <w:sz w:val="24"/>
          <w:szCs w:val="24"/>
        </w:rPr>
        <w:br/>
        <w:t xml:space="preserve">Eredmény: Elsőként sikerült kimutatnunk, hogy a korábban sejtes mintákban azonosított lncRNS-ek CSV minták extracelluláris terében (EC) is mérhetõk: LINC01013 (p=0,007), AC002464.1 (p=0,013), AC002454.1 (p=0,035), BX293535.1 (p=0,006), LINC00958 (p=0,036). A liquorban azonban a kiválasztott lncRNS-ek a detektálási küszöböt nem érték el.</w:t>
      </w:r>
      <w:r>
        <w:rPr>
          <w:color w:val="000000"/>
          <w:sz w:val="24"/>
          <w:szCs w:val="24"/>
        </w:rPr>
        <w:br/>
        <w:t xml:space="preserve">Következtetés: Bár bizonyítottuk, hogy EC-be kerülnek, az lncRNS-ek nem alkalmasak CSF biomarkernek ALL-ben. A projekt folytatásaként a kiválasztott markerek minimál invazív betegségkövetés marker funkcóját fogjuk vizsgálni</w:t>
      </w:r>
      <w:r>
        <w:rPr>
          <w:color w:val="000000"/>
          <w:sz w:val="24"/>
          <w:szCs w:val="24"/>
        </w:rPr>
        <w:br/>
        <w:t xml:space="preserve">perifériás vérből.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03615">
    <w:multiLevelType w:val="hybridMultilevel"/>
    <w:lvl w:ilvl="0" w:tplc="31300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03615">
    <w:abstractNumId w:val="24903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08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