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SZALAI FATIME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fatie.salay@gmail.com</w:t>
            </w:r>
            <w:r w:rsidRPr="001067CD">
              <w:rPr>
                <w:i/>
              </w:rPr>
              <w:br/>
            </w:r>
            <w:r w:rsidR="00A96AEC">
              <w:t>-</w:t>
            </w:r>
            <w:r w:rsidR="00A96AEC">
              <w:br/>
            </w:r>
            <w:r w:rsidR="00E77B23">
              <w:t>Osztatlan, 12.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Krencz Ildikó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Sztankovics Dániel</w:t>
            </w:r>
          </w:p>
          <w:p w:rsidR="00DB4822" w:rsidRDefault="00DB4822" w:rsidP="00BA6BAF">
            <w:pPr>
              <w:pStyle w:val="Konzulensektitulus"/>
            </w:pPr>
            <w:r w:rsidRPr="00DB4822">
              <w:t>Kutatási munkatárs,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Molekuláris szubtípus markerek expressziójának vizsgálata primer és agyi metasztatikus kissejtes tüdődaganatokban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Immunhisztokémia; SCLC; heterogenitás; plaszticitás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kissejtes tüdőcarcinomákat (SCLC-ket) korai áttétképzés és rendkívül kedvezőtlen prognózis jellemzi, az agyi áttétek kialakulása gyakran megpecsételi a betegek sorsát. A terápiában nem történt érdemi előrelépés az utóbbi évtizedekben, azonban az SCLC-ket a közelmúltban 4 szubtípusba sorolták az ASCL1, NeuroD1, POU2F3 és YAP1 expressziója alapján. A molekuláris alosztályok jellemző eltéréseit célzó altípus-specifikus kezelések növelhetik a betegek túlélését, azonban egyelőre kevés adat áll rendelkezésre arról, hogy a molekuláris szubtípus markerek expressziója hogyan változik a daganat progressziója során. Vizsgálatunk célja az volt, hogy összehasonlítsuk a felsorolt molekuláris markerek expresszióját primer és agyi metasztatikus SCLC-kben.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molekuláris markerek immunhisztokémiai vizsgálatát 120 SCLC mintán végeztük el, amelyek között 10 ugyanazon betegből származó (primer-primer, primer-agyi áttét vagy agyi áttét-agyi áttét) mintapár is volt. Emellett SCLC xenograftban (H146) is értékeltük az altípus markerek expressziójának változásait kemoterápia alkalmazását követően, valamint hosszútávú kísérlet során.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primer SCLC-kel összehasonlítva agyi metasztázisokban jelentősen emelkedett a többszörös – elsősorban az ASCL1</w:t>
      </w:r>
      <w:r>
        <w:rPr>
          <w:color w:val="000000"/>
          <w:position w:val="4"/>
          <w:sz w:val="21"/>
          <w:szCs w:val="21"/>
          <w:vertAlign w:val="superscript"/>
        </w:rPr>
        <w:t xml:space="preserve">high</w:t>
      </w:r>
      <w:r>
        <w:rPr>
          <w:color w:val="000000"/>
          <w:sz w:val="24"/>
          <w:szCs w:val="24"/>
        </w:rPr>
        <w:t xml:space="preserve">/NeuroD1</w:t>
      </w:r>
      <w:r>
        <w:rPr>
          <w:color w:val="000000"/>
          <w:position w:val="4"/>
          <w:sz w:val="21"/>
          <w:szCs w:val="21"/>
          <w:vertAlign w:val="superscript"/>
        </w:rPr>
        <w:t xml:space="preserve">high</w:t>
      </w:r>
      <w:r>
        <w:rPr>
          <w:color w:val="000000"/>
          <w:sz w:val="24"/>
          <w:szCs w:val="24"/>
        </w:rPr>
        <w:t xml:space="preserve"> és az ASCL1</w:t>
      </w:r>
      <w:r>
        <w:rPr>
          <w:color w:val="000000"/>
          <w:position w:val="4"/>
          <w:sz w:val="21"/>
          <w:szCs w:val="21"/>
          <w:vertAlign w:val="superscript"/>
        </w:rPr>
        <w:t xml:space="preserve">high</w:t>
      </w:r>
      <w:r>
        <w:rPr>
          <w:color w:val="000000"/>
          <w:sz w:val="24"/>
          <w:szCs w:val="24"/>
        </w:rPr>
        <w:t xml:space="preserve">/NeuroD1</w:t>
      </w:r>
      <w:r>
        <w:rPr>
          <w:color w:val="000000"/>
          <w:position w:val="4"/>
          <w:sz w:val="21"/>
          <w:szCs w:val="21"/>
          <w:vertAlign w:val="superscript"/>
        </w:rPr>
        <w:t xml:space="preserve">high</w:t>
      </w:r>
      <w:r>
        <w:rPr>
          <w:color w:val="000000"/>
          <w:sz w:val="24"/>
          <w:szCs w:val="24"/>
        </w:rPr>
        <w:t xml:space="preserve">/YAP1</w:t>
      </w:r>
      <w:r>
        <w:rPr>
          <w:color w:val="000000"/>
          <w:position w:val="4"/>
          <w:sz w:val="21"/>
          <w:szCs w:val="21"/>
          <w:vertAlign w:val="superscript"/>
        </w:rPr>
        <w:t xml:space="preserve">high</w:t>
      </w:r>
      <w:r>
        <w:rPr>
          <w:color w:val="000000"/>
          <w:sz w:val="24"/>
          <w:szCs w:val="24"/>
        </w:rPr>
        <w:t xml:space="preserve"> – szubtípusok előfordulása. A mintapárok vizsgálata során azok altípusa csak az esetek egyharmadában egyezett meg. Bár nem figyeltünk meg szignifikáns változást a szubtípusok eloszlásában kemoterápiát követően, az ASCL1 expresszió csökkenését és a NeuroD1 expresszió növekedését mutattuk ki a hosszútávú xenograft vizsgálat során.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Eredményeink rámutatnak, hogy a molekuláris szubtípus markerek változhatnak betegség progressziója során, így a primer SCLC szubtípusának vizsgálata nem feltétlenül ad pontos információt a rekurrens/metasztatikus daganat jellemzőiről. Ezek alapján az altípus-specifikus célzott terápia bevezetése előtt újabb mintavétel és molekuláris altípus meghatározás válhat szükségessé.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008319">
    <w:multiLevelType w:val="hybridMultilevel"/>
    <w:lvl w:ilvl="0" w:tplc="648392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008319">
    <w:abstractNumId w:val="700083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840159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