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KOÓS GÁBOR</w:t>
            </w:r>
          </w:p>
          <w:p w:rsidR="00C275A3" w:rsidRDefault="00CA6B74" w:rsidP="00C275A3">
            <w:pPr>
              <w:pStyle w:val="Hallgatokepzes"/>
            </w:pPr>
            <w:r w:rsidRPr="001067CD">
              <w:rPr>
                <w:i/>
              </w:rPr>
              <w:t>koos.gabor@stud.semmelweis.hu</w:t>
            </w:r>
            <w:r w:rsidRPr="001067CD">
              <w:rPr>
                <w:i/>
              </w:rPr>
              <w:br/>
            </w:r>
            <w:r w:rsidR="00A96AEC">
              <w:t>általános orvos</w:t>
            </w:r>
            <w:r w:rsidR="00A96AEC">
              <w:br/>
            </w:r>
            <w:r w:rsidR="00E77B23">
              <w:t>Osztatlan, 10. félév</w:t>
            </w:r>
          </w:p>
          <w:p w:rsidR="00C265CE" w:rsidRPr="009E5FF1" w:rsidRDefault="00E77B23" w:rsidP="00BA6BAF">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Nagy Bettina</w:t>
            </w:r>
          </w:p>
          <w:p w:rsidR="00DB4822" w:rsidRDefault="00DB4822" w:rsidP="00BA6BAF">
            <w:pPr>
              <w:pStyle w:val="Konzulensektitulus"/>
            </w:pPr>
            <w:r w:rsidRPr="00DB4822">
              <w:t>rezidens, SE ÁOK</w:t>
            </w:r>
          </w:p>
        </w:tc>
      </w:tr>
      <w:tr w:rsidR="00DB4822" w:rsidTr="00DB4822">
        <w:tc>
          <w:tcPr>
            <w:tcW w:w="9854" w:type="dxa"/>
          </w:tcPr>
          <w:p w:rsidR="00DB4822" w:rsidRPr="00DB4822" w:rsidRDefault="00DB4822" w:rsidP="00BA6BAF">
            <w:pPr>
              <w:pStyle w:val="Konzulenseknev"/>
            </w:pPr>
            <w:r w:rsidRPr="00DB4822">
              <w:t>Dr. Zima Endre</w:t>
            </w:r>
          </w:p>
          <w:p w:rsidR="00DB4822" w:rsidRDefault="00DB4822" w:rsidP="00BA6BAF">
            <w:pPr>
              <w:pStyle w:val="Konzulensektitulus"/>
            </w:pPr>
            <w:r w:rsidRPr="00DB4822">
              <w:t>egyetemi tanár,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Intenzív terápiában használt pontrendszerek összehasonlítása, az újraélesztésen átesett páciensek körében: alkalmazhatóság és korlátok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hirtelen szívhalál; prognózisbecslés; pontrendszer</w:t>
      </w:r>
      <w:r>
        <w:t xml:space="preserve"/>
      </w:r>
    </w:p>
    <w:p>
      <w:pPr>
        <w:widowControl w:val="on"/>
        <w:pBdr/>
        <w:spacing w:before="240" w:after="240" w:line="240" w:lineRule="auto"/>
        <w:ind w:left="0" w:right="0"/>
        <w:jc w:val="left"/>
      </w:pPr>
      <w:r>
        <w:rPr>
          <w:color w:val="000000"/>
          <w:sz w:val="24"/>
          <w:szCs w:val="24"/>
        </w:rPr>
        <w:t xml:space="preserve">Bevezetés:</w:t>
      </w:r>
      <w:r>
        <w:rPr>
          <w:b/>
          <w:color w:val="000000"/>
          <w:sz w:val="24"/>
          <w:szCs w:val="24"/>
        </w:rPr>
        <w:t xml:space="preserve"> </w:t>
      </w:r>
      <w:r>
        <w:rPr>
          <w:color w:val="000000"/>
          <w:sz w:val="24"/>
          <w:szCs w:val="24"/>
        </w:rPr>
        <w:t xml:space="preserve">A hirtelen szívhalál (HSZH) az egyik leggyakoribb kardiovaszkuláris halálok világszerte. Számos tényező befolyásolja a HSZH-n átesett páciensek kórházi kezelésének végkimenetelét. Ezen faktorok azonosításával létrehozhatóak prognózist becsülni képes pontrendszerek, amelyek célja a mortalitás és a neurológiai végkimenetel előrejelzése. Napjainkban számtalan pontrendszer áll rendelkezésünkre, azonban az adatok még mindig korlátozottak ahhoz, hogy meghatározzuk, melyik lenne a legmegfelelőbb választás a reanimált betegek számára.</w:t>
      </w:r>
    </w:p>
    <w:p>
      <w:pPr>
        <w:widowControl w:val="on"/>
        <w:pBdr/>
        <w:spacing w:before="240" w:after="240" w:line="240" w:lineRule="auto"/>
        <w:ind w:left="0" w:right="0"/>
        <w:jc w:val="left"/>
      </w:pPr>
      <w:r>
        <w:rPr>
          <w:color w:val="000000"/>
          <w:sz w:val="24"/>
          <w:szCs w:val="24"/>
        </w:rPr>
        <w:t xml:space="preserve">Célkitűzés: Célunk volt átfogóan vizsgálni az intenzív osztályokon alkalmazott pontrendszereket, és felmérni, hogy milyen prediktív értékkel bírnak az újraélesztésen átesett páciensek mortalitására vonatkozóan. További célunk volt azonosítani az általunk vizsgált betegcsoport számára a legmegbízhatóbbakat.</w:t>
      </w:r>
    </w:p>
    <w:p>
      <w:pPr>
        <w:widowControl w:val="on"/>
        <w:pBdr/>
        <w:spacing w:before="240" w:after="240" w:line="240" w:lineRule="auto"/>
        <w:ind w:left="0" w:right="0"/>
        <w:jc w:val="left"/>
      </w:pPr>
      <w:r>
        <w:rPr>
          <w:color w:val="000000"/>
          <w:sz w:val="24"/>
          <w:szCs w:val="24"/>
        </w:rPr>
        <w:t xml:space="preserve">Módszer: Prospektív kutatást végeztünk 2019. 11. 03-a és 2023. 02. 26-a között a Városmajori Szív- és Érgyógyászati Klinikán. Tíz pontrendszer került beválogatásra (APACHE II, SAPS II, SOFA, qSOFA, LODS, MODS, OHCA, CAHP, NULL-PLEASE, rCAST). Mindegyik páciens pontszámai kiszámításra kerültek az összes beválogatott pontrendszer alapján. A vizsgált paramétereket, a pontrendszerek által specifikusan meghatározott, a felvételt követő első 24 óra adatai adták. Végpontnak a 30, 90 és 365 napos mortalitást tekintettük. Adataink feldolgozására leíró statisztikát, és ROC analízist alkalmaztunk. Az AUC értékeket Hanley &amp; McNeil módszere alapján hasonlítottuk össze.</w:t>
      </w:r>
    </w:p>
    <w:p>
      <w:pPr>
        <w:widowControl w:val="on"/>
        <w:pBdr/>
        <w:spacing w:before="240" w:after="240" w:line="240" w:lineRule="auto"/>
        <w:ind w:left="0" w:right="0"/>
        <w:jc w:val="left"/>
      </w:pPr>
      <w:r>
        <w:rPr>
          <w:color w:val="000000"/>
          <w:sz w:val="24"/>
          <w:szCs w:val="24"/>
        </w:rPr>
        <w:t xml:space="preserve">Eredmények: A vizsgálatba 86 főt vontunk be (életkor 61,2±15,1 év, 67,4%-uk férfi). Kórházon kívüli szívmegálláson 80,2%-uk esett át, 54,7%-uk pedig célhőmérséklet-orientált kezelésben részesült. A ROC analízis alapján legmagasabb prediktív teljesítménnyel a CAHP score (AUC30: 0,886 ; AUC90: 0,871 ; AUC365: 0,848). Hasonlóan magas AUC értékekkel az OHCA score (AUC30: 0,830 ; AUC90: 0,809 ; AUC365: 0,801), valamint a SAPS II pontrendszer (AUC90: 0,797 ; AUC365: 0,793) rendelkezett. Az összes többi vizsgált pontrendszer statisztikailag szignifikánsan rosszabbul teljesített az CAHP score-nál (p &lt; 0,05).</w:t>
      </w:r>
    </w:p>
    <w:p>
      <w:pPr>
        <w:widowControl w:val="on"/>
        <w:pBdr/>
        <w:spacing w:before="240" w:after="240" w:line="240" w:lineRule="auto"/>
        <w:ind w:left="0" w:right="0"/>
        <w:jc w:val="left"/>
      </w:pPr>
      <w:r>
        <w:rPr>
          <w:color w:val="000000"/>
          <w:sz w:val="24"/>
          <w:szCs w:val="24"/>
        </w:rPr>
        <w:t xml:space="preserve">Következtetés: Vizsgálatunkban a CAHP, az OHCA és a SAPS II pontrendszerek bizonyultak az újraélesztésen átesett páciensek prognózisának leghatékonyabb prediktorainak. Jövőbeli célunk egy speciálisan erre a betegcsoportra szabott pontrendszer létrehozása.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07938">
    <w:multiLevelType w:val="hybridMultilevel"/>
    <w:lvl w:ilvl="0" w:tplc="48375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07938">
    <w:abstractNumId w:val="972079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1413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