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horvathandras17@gmail.com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Képessy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 az államban: Horvát-Szlavónország alkotmányos helyzete a reformkortól az első világháborúig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Horvát-Szlavónország; Horvátország; Osztrák-Magyar Monarchia; magyar alkotmánytörténet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Horvát-Szlavónország alkotmányos helyzetének bemutatása a reformkortól az első világháború kezdetéig. A dolgozatom elkészítése során különösen fontosnak tartottam bemutatni a horvát jogtörténetnek a témára vonatkozó eredményeit is. Bár az elmúlt évtizedekben valamelyest közeledett egymáshoz a horvát és a magyar álláspont, a korszak értékelésében máig fellelhetők markáns különbségek.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Már abban sincs egyetértés, hogy Horvát-Szlavónország rendelkezett-e államisággal, vagy sem. Jelentős eltérések vannak az a magyar kormányzatnak az állam egységét hirdető akcióinak megítélésével szemben is. Horvát részről rendszeresen megfogalmazódik a vád, hogy azok a magyarosítás első lépései voltak, míg magyar részről legfeljebb azt ismerik el, hogy ezek a horvát közvéleményt sértő, de alapvetően csak performatív, szimbolikus jelenségek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Jelentős vitás kérdés az is, hogy hiba volt-e, hogy a Háromegy Királyság nem rendelkezett pénzügyi önállósággal. Tény, hogy a horvát állásponttal egyezően a legtöbb, Zágráb és Budapest közötti vita a pénzügyekkel volt kapcsolatos, de én megalapozottnak érzem azt az állítást, hogy 1868-ban Horvát-Szlavónország még nem volt kész a pénzügyi önállóságra, hiszen a horvát költségvetést a kiegyezést követően még évtizedekig a magyar költségvetés terhére egészítették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Felmerülhet, hogy lehetett volna-e jobb megoldás az 1868-as kiegyezésnél? Véleményem szerint akkor, 1868-ban a horvát területek gazdasági fejletlensége miatt nem, később talán lehetett volna a kiegyezésen akár módosítani, akár annak rendelkezéseit kiterjesztően értelmezni, de erre sem politikai akarat, a világháború kitörése miatt pedig idő sem volt.</w:t>
      </w:r>
      <w:r>
        <w:rPr>
          <w:color w:val="000000"/>
          <w:sz w:val="24"/>
          <w:szCs w:val="24"/>
        </w:rPr>
        <w:br/>
        <w:t xml:space="preserve">Álláspontom szerint a kiegyezéssel létrejött korlátozott horvát államisággal olyan keretek közé kerültek a horvátok, amely biztosította az önálló állami és nemzeti fejlődésüket. Bár a kiegyezéssel létrejött államközösség nem volt számukra minden tekintetben ideális, egy önálló horvát állam, vagy egy trialista monarchia megteremtésének nem volt a korszakban reális lehetősége, azt pedig a 20. század történelmének ismeretében tudjuk, hogy a jugoszláv állam sem kínált számukra kedvezőbb alternatívát. Minden hibája ellenére a kiegyezés olyan szellemi, jogi, államszervezeti és gazdasági alapokat adott a horvátoknak, amelyre a jugoszláv időszak horvát nemzeti mozgalma, valamint a délszláv háború következtében létrejövő modern Horvátország is bátran építhetett.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49461">
    <w:multiLevelType w:val="hybridMultilevel"/>
    <w:lvl w:ilvl="0" w:tplc="32976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49461">
    <w:abstractNumId w:val="60549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259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