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SZAKMÁRY PÉTER</w:t>
            </w:r>
          </w:p>
          <w:p w:rsidR="00C275A3" w:rsidRDefault="00CA6B74" w:rsidP="00C275A3">
            <w:pPr>
              <w:pStyle w:val="Hallgatokepzes"/>
            </w:pPr>
            <w:r w:rsidRPr="001067CD">
              <w:rPr>
                <w:i/>
              </w:rPr>
              <w:t>szakypeti@gmail.com</w:t>
            </w:r>
            <w:r w:rsidRPr="001067CD">
              <w:rPr>
                <w:i/>
              </w:rPr>
              <w:br/>
            </w:r>
            <w:r w:rsidR="00A96AEC">
              <w:t>Jogász</w:t>
            </w:r>
            <w:r w:rsidR="00A96AEC">
              <w:br/>
            </w:r>
            <w:r w:rsidR="00E77B23">
              <w:t>Osztatlan, 10.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Ambrus István</w:t>
            </w:r>
          </w:p>
          <w:p w:rsidR="00DB4822" w:rsidRDefault="00DB4822" w:rsidP="00BA6BAF">
            <w:pPr>
              <w:pStyle w:val="Konzulensektitulus"/>
            </w:pPr>
            <w:r w:rsidRPr="00DB4822">
              <w:t>habil. tanszékvezető egyetemi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Merre tartasz, jogtárgy? - a legitim jogi tárgyak hiánya egy különös részi tényállás példáján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alkotmányos büntetőjog; állatkínzás; alapjogok; alapjog-korlátozás; kodifikáció</w:t>
      </w:r>
      <w:r>
        <w:t xml:space="preserve"/>
      </w:r>
    </w:p>
    <w:p>
      <w:pPr>
        <w:widowControl w:val="on"/>
        <w:pBdr/>
        <w:spacing w:before="240" w:after="240" w:line="240" w:lineRule="auto"/>
        <w:ind w:left="0" w:right="0"/>
        <w:jc w:val="left"/>
      </w:pPr>
      <w:r>
        <w:rPr>
          <w:color w:val="000000"/>
          <w:sz w:val="24"/>
          <w:szCs w:val="24"/>
        </w:rPr>
        <w:t xml:space="preserve">Dolgozatom nem az állatkínzás tényállásának szoros értelemben vett elemzéséről szól. Célom, hogy munkámban az említett bűncselekményen keresztül bemutassak egy absztrakt problémakört, amely kardinális jelentőségű az alkotmányos alapjogok és az alkotmányos büntetőjog szempontjából. Munkámban azon, a francia forradalomig visszavezethető szemlélet jelenik meg, melynek értelmében mindent szabad az állampolgárnak (a jogrend hatálya alá tartozó személynek), amit az állam nem tilt. Természetesen nem lehet ez másképpen a büntetőjog jogvidékén sem</w:t>
      </w:r>
      <w:r>
        <w:rPr>
          <w:color w:val="000000"/>
          <w:position w:val="4"/>
          <w:sz w:val="21"/>
          <w:szCs w:val="21"/>
          <w:vertAlign w:val="superscript"/>
        </w:rPr>
        <w:t xml:space="preserve">1</w:t>
      </w:r>
      <w:r>
        <w:rPr>
          <w:color w:val="000000"/>
          <w:sz w:val="24"/>
          <w:szCs w:val="24"/>
        </w:rPr>
        <w:t xml:space="preserve">. Az államnak mint absztrakt entitásnak garantálnia kell, hogy az általa biztosított alapvető jogok érvényre juthassanak, paradox módon azonban pont maga az állam jelenti a legnagyobb veszélyt ezen jogokra nézve. A fenti gondolatmenetet rávetítve a büntetőjog területére, azt a megállapítást tehetjük, hogy az állam az egyéni cselekvési szabadságot minden egyes tényállás megalkotásával – amikor a végtelen számosságú lehetséges emberi magatartás közül kiemel egyet, és azt körülírja – korlátozza. Ezt pedig kizárólag olyan rendben teheti meg, amely megfelel a mindenkor hatályos alkotmány vonatkozó előírásainak. A hatályos btk.-ban</w:t>
      </w:r>
      <w:r>
        <w:rPr>
          <w:color w:val="000000"/>
          <w:position w:val="4"/>
          <w:sz w:val="21"/>
          <w:szCs w:val="21"/>
          <w:vertAlign w:val="superscript"/>
        </w:rPr>
        <w:t xml:space="preserve">2</w:t>
      </w:r>
      <w:r>
        <w:rPr>
          <w:color w:val="000000"/>
          <w:sz w:val="24"/>
          <w:szCs w:val="24"/>
        </w:rPr>
        <w:t xml:space="preserve"> több olyan különös részi tényállás is szerepel, amely nem feltétlenül felel meg az említett követelményeknek. Ennek egyik eklatáns, a hazai jogirodalomban eddig, ebből a szempontból egyáltalán nem tárgyalt példája az állatkínzás bűncselekménye. Bízom benne, hogy munkám erősíti az alkotmányos büntetőjog és az anyagi jogi értelemben vett legalitás elvének fókuszba helyezését, elsősorban a kodifikációs folyamatok során.</w:t>
      </w:r>
    </w:p>
    <w:p>
      <w:pPr>
        <w:widowControl w:val="on"/>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Régies szóhasználat a jogág terminusra, lásd például Angyal műveit.</w:t>
      </w:r>
      <w:r>
        <w:rPr>
          <w:color w:val="000000"/>
          <w:position w:val="4"/>
          <w:sz w:val="21"/>
          <w:szCs w:val="21"/>
          <w:vertAlign w:val="superscript"/>
        </w:rPr>
        <w:br/>
        <w:t xml:space="preserve">2</w:t>
      </w:r>
      <w:r>
        <w:rPr>
          <w:color w:val="000000"/>
          <w:sz w:val="24"/>
          <w:szCs w:val="24"/>
        </w:rPr>
        <w:t xml:space="preserve">A Büntető Törvénykönyvről szóló 2012. évi C. törvény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19077">
    <w:multiLevelType w:val="hybridMultilevel"/>
    <w:lvl w:ilvl="0" w:tplc="36293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19077">
    <w:abstractNumId w:val="32719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135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